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F6B6C">
      <w:pPr>
        <w:keepNext w:val="0"/>
        <w:keepLines w:val="0"/>
        <w:widowControl/>
        <w:suppressLineNumbers w:val="0"/>
        <w:jc w:val="center"/>
      </w:pPr>
      <w:bookmarkStart w:id="2" w:name="_GoBack"/>
      <w:bookmarkEnd w:id="2"/>
      <w:r>
        <w:rPr>
          <w:rFonts w:ascii="sans-serif" w:hAnsi="sans-serif" w:eastAsia="sans-serif" w:cs="sans-serif"/>
          <w:b/>
          <w:bCs/>
          <w:i w:val="0"/>
          <w:iCs w:val="0"/>
          <w:caps w:val="0"/>
          <w:color w:val="333333"/>
          <w:spacing w:val="0"/>
          <w:kern w:val="0"/>
          <w:sz w:val="36"/>
          <w:szCs w:val="36"/>
          <w:shd w:val="clear" w:fill="FFFFFF"/>
          <w:lang w:val="en-US" w:eastAsia="zh-CN" w:bidi="ar"/>
        </w:rPr>
        <w:t>苏州中亿丰光电有限公司5%股权公开转让</w:t>
      </w:r>
    </w:p>
    <w:p w14:paraId="17714A9A">
      <w:pPr>
        <w:rPr>
          <w:rFonts w:hint="eastAsia"/>
          <w:lang w:val="en-US" w:eastAsia="zh-CN"/>
        </w:rPr>
      </w:pPr>
    </w:p>
    <w:tbl>
      <w:tblPr>
        <w:tblW w:w="10340"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340"/>
        <w:gridCol w:w="2497"/>
        <w:gridCol w:w="1511"/>
        <w:gridCol w:w="447"/>
        <w:gridCol w:w="2404"/>
        <w:gridCol w:w="2141"/>
      </w:tblGrid>
      <w:tr w14:paraId="0EBEE7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wAfter w:w="0" w:type="auto"/>
          <w:trHeight w:val="454" w:hRule="atLeast"/>
        </w:trPr>
        <w:tc>
          <w:tcPr>
            <w:tcW w:w="134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1D9C3E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项目名称</w:t>
            </w:r>
          </w:p>
        </w:tc>
        <w:tc>
          <w:tcPr>
            <w:tcW w:w="9000" w:type="dxa"/>
            <w:gridSpan w:val="5"/>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14:paraId="48B77F6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苏州中亿丰光电有限公司5%股权公开转让</w:t>
            </w:r>
          </w:p>
        </w:tc>
      </w:tr>
      <w:tr w14:paraId="0EC670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460"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AA236B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项目编号</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4D590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SCJG20260130</w:t>
            </w:r>
          </w:p>
        </w:tc>
      </w:tr>
      <w:tr w14:paraId="5C5925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300"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C8AD8F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转让行为批准情况</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CF6460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批准单位：苏州市相城区人民政府国有资产监督管理办公室</w:t>
            </w:r>
          </w:p>
          <w:p w14:paraId="1C8C981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批准时间：2026年7月13日</w:t>
            </w:r>
          </w:p>
        </w:tc>
      </w:tr>
      <w:tr w14:paraId="45D38E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00"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837BC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内部决策情况</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0FC981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2026年5月25日，苏州和淼投资有限公司董事会决议同意公开转让苏州中亿丰光电有限公司5%股权。</w:t>
            </w:r>
          </w:p>
          <w:p w14:paraId="546E36D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2026年6月18日，苏州市相城城市建设投资（集团）有限公司董事会决议同意公开转让苏州中亿丰光电有限公司5%股权。</w:t>
            </w:r>
          </w:p>
          <w:p w14:paraId="0074C33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2026年6月23日，苏州中亿丰光电有限公司2026年第三次临时股东会会议决议同意苏州和淼投资有限公司将其持有的苏州中亿丰光电有限公司5%股权进行公开挂牌转让。</w:t>
            </w:r>
          </w:p>
        </w:tc>
      </w:tr>
      <w:tr w14:paraId="4DDA6C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300"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984059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挂牌日期</w:t>
            </w: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FF354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挂牌起始日期：2026年7月31日</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6BC208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挂牌终止日期：2026年8月27日</w:t>
            </w:r>
          </w:p>
        </w:tc>
      </w:tr>
      <w:tr w14:paraId="37640A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00"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7F5111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bookmarkStart w:id="0" w:name="_Hlk193198571"/>
            <w:bookmarkEnd w:id="0"/>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信息披露期满后，如未征集到意向受让方</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59AF0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披露到期终结，不再延长披露周期。</w:t>
            </w:r>
          </w:p>
        </w:tc>
      </w:tr>
      <w:tr w14:paraId="6D39EC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431"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3EB5C6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转让方名称</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BD3A4E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苏州和淼投资有限公司</w:t>
            </w:r>
          </w:p>
        </w:tc>
      </w:tr>
      <w:tr w14:paraId="6AEF7B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8ECAFE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标的企业</w:t>
            </w:r>
          </w:p>
          <w:p w14:paraId="11178CE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基本情况</w:t>
            </w: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74FF39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标的企业名称</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CCB21E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苏州中亿丰光电有限公司</w:t>
            </w:r>
          </w:p>
        </w:tc>
      </w:tr>
      <w:tr w14:paraId="26D3CE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158E9D0">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3DC8C1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公司类型</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3682CC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有限责任公司</w:t>
            </w:r>
          </w:p>
        </w:tc>
      </w:tr>
      <w:tr w14:paraId="286020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EC1FE05">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3795A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注册号码</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56CF6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91320583MA265J3E94</w:t>
            </w:r>
          </w:p>
        </w:tc>
      </w:tr>
      <w:tr w14:paraId="0A803B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297"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D9BA255">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2613E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注册资本（万元）</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F3FC0A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2500</w:t>
            </w:r>
          </w:p>
        </w:tc>
      </w:tr>
      <w:tr w14:paraId="27E243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CFD1B0E">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6A85D6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法定代表人</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1419C6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秦英杰</w:t>
            </w:r>
          </w:p>
        </w:tc>
      </w:tr>
      <w:tr w14:paraId="13391F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97F0372">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A5B59E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住所</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A737E4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苏州市相城区元和街道万里路88号5号楼三楼A019室</w:t>
            </w:r>
          </w:p>
        </w:tc>
      </w:tr>
      <w:tr w14:paraId="593C19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79"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E70414E">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0A144E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经营范围</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005D0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许可项目：建筑劳务分包；建设工程施工（依法须经批准的项目，经相关部门批准后方可开展经营活动，具体经营项目以审批结果为准）</w:t>
            </w:r>
          </w:p>
          <w:p w14:paraId="115BC28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一般项目：光电子器件制造；光电子器件销售；电子元器件制造；电子元器件批发；照明器具制造；照明器具销售；电子专用材料销售；电子产品销售；灯具销售；园林绿化工程施工；土石方工程施工；安全系统监控服务；数字视频监控系统销售；太阳能热利用产品销售；智能控制系统集成；人工智能通用应用系统；发电机及发电机组销售；太阳能热发电产品销售；太阳能热利用装备销售；太阳能热发电装备销售；电池销售；光伏设备及元器件销售；五金产品批发；物联网技术服务；技术服务、技术开发、技术咨询、技术交流、技术转让、技术推广；太阳能发电技术服务；工业设计服务；软件开发；合同能源管理；货物进出口；进出口代理；技术进出口；第一类医疗器械销售；第二类医疗器械销售（除依法须经批准的项目外，凭营业执照依法自主开展经营活动）</w:t>
            </w:r>
          </w:p>
        </w:tc>
      </w:tr>
      <w:tr w14:paraId="6B98F7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AD04A78">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0F9297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职工人数</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DF2990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62</w:t>
            </w:r>
          </w:p>
        </w:tc>
      </w:tr>
      <w:tr w14:paraId="0230F0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3D13176">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6995DF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所属行业</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C4772B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光电子器件制造</w:t>
            </w:r>
          </w:p>
        </w:tc>
      </w:tr>
      <w:tr w14:paraId="416AD1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28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7A78022">
            <w:pPr>
              <w:rPr>
                <w:rFonts w:hint="default" w:ascii="sans-serif" w:hAnsi="sans-serif" w:eastAsia="sans-serif" w:cs="sans-serif"/>
                <w:i w:val="0"/>
                <w:iCs w:val="0"/>
                <w:caps w:val="0"/>
                <w:color w:val="333333"/>
                <w:spacing w:val="0"/>
                <w:sz w:val="21"/>
                <w:szCs w:val="21"/>
              </w:rPr>
            </w:pPr>
          </w:p>
        </w:tc>
        <w:tc>
          <w:tcPr>
            <w:tcW w:w="400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271960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其他</w:t>
            </w:r>
          </w:p>
        </w:tc>
        <w:tc>
          <w:tcPr>
            <w:tcW w:w="4992"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9AB79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标的企业成立于2021年5月28日</w:t>
            </w:r>
          </w:p>
        </w:tc>
      </w:tr>
      <w:tr w14:paraId="683873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606"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03315C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标的企业</w:t>
            </w:r>
          </w:p>
          <w:p w14:paraId="2B43C1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股权结构</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9DC5EC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苏州和淼投资有限公司 30%</w:t>
            </w:r>
          </w:p>
          <w:p w14:paraId="687F22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中亿丰控股集团有限公司 30%</w:t>
            </w:r>
          </w:p>
          <w:p w14:paraId="1C37CA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苏州朗恩光电科技有限公司 40%</w:t>
            </w:r>
          </w:p>
        </w:tc>
      </w:tr>
      <w:tr w14:paraId="2A4F4C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60"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04C239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最近一个年度审计数据</w:t>
            </w:r>
          </w:p>
          <w:p w14:paraId="36A788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（2025年12月31日）</w:t>
            </w: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239095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资产总额（万元）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40D61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10025.11</w:t>
            </w:r>
          </w:p>
        </w:tc>
      </w:tr>
      <w:tr w14:paraId="538F7C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00"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07E3419">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208AF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负债总额（万元）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900126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8696.34</w:t>
            </w:r>
          </w:p>
        </w:tc>
      </w:tr>
      <w:tr w14:paraId="29040D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D70BCE4">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D95FC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净资产（万元）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6BDD4B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1328.77</w:t>
            </w:r>
          </w:p>
        </w:tc>
      </w:tr>
      <w:tr w14:paraId="15A597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8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D3AA6ED">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42B331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主营业务收入（万元）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86CC1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7837.25</w:t>
            </w:r>
          </w:p>
        </w:tc>
      </w:tr>
      <w:tr w14:paraId="11E781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96"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F4988F0">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AD2F4A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利润总额（万元）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DB3B6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-366.47</w:t>
            </w:r>
          </w:p>
        </w:tc>
      </w:tr>
      <w:tr w14:paraId="115469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DD15CF5">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0D9E6B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净利润（万元）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1FB02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-366.70</w:t>
            </w:r>
          </w:p>
        </w:tc>
      </w:tr>
      <w:tr w14:paraId="157656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1F1C55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最近一期企业财务报表数据（2026年6月30日）</w:t>
            </w: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1B88453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资产总额（万元）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C2A146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9390.18</w:t>
            </w:r>
          </w:p>
        </w:tc>
      </w:tr>
      <w:tr w14:paraId="78FADF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1717C20">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5BAAA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负债总额（万元）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B3F64A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7415.89</w:t>
            </w:r>
          </w:p>
        </w:tc>
      </w:tr>
      <w:tr w14:paraId="714F23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90554B0">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2CAB38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净资产（万元）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B094D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1974.29</w:t>
            </w:r>
          </w:p>
        </w:tc>
      </w:tr>
      <w:tr w14:paraId="78C0B4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65B7756">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2B7C8D1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主营业务收入（万元）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8E757C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1975.60</w:t>
            </w:r>
          </w:p>
        </w:tc>
      </w:tr>
      <w:tr w14:paraId="55EC3F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0D5673E">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6B6C75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利润总额（万元）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E81370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-380.90</w:t>
            </w:r>
          </w:p>
        </w:tc>
      </w:tr>
      <w:tr w14:paraId="15C029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AF19FE9">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6CDA23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净利润（万元）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132CC4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-380.90</w:t>
            </w:r>
          </w:p>
        </w:tc>
      </w:tr>
      <w:tr w14:paraId="27C505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DC3D16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基准日审计数据</w:t>
            </w:r>
          </w:p>
          <w:p w14:paraId="15B7FAC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（2025年12月31日）</w:t>
            </w: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53E8B1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资产总额（万元）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C6E4D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10025.11</w:t>
            </w:r>
          </w:p>
        </w:tc>
      </w:tr>
      <w:tr w14:paraId="27BA14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60A0CB6">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CEC8B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负债总额（万元）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3D300F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8696.34</w:t>
            </w:r>
          </w:p>
        </w:tc>
      </w:tr>
      <w:tr w14:paraId="3EDBAB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4F022B2">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D5CABC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净资产（万元）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4488E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1328.77</w:t>
            </w:r>
          </w:p>
        </w:tc>
      </w:tr>
      <w:tr w14:paraId="00D409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745EA47">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6280AC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主营业务收入（万元）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D52AEA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7837.25</w:t>
            </w:r>
          </w:p>
        </w:tc>
      </w:tr>
      <w:tr w14:paraId="0CB789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19C42BE">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FDCD6E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利润总额（万元）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DDE527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-366.47</w:t>
            </w:r>
          </w:p>
        </w:tc>
      </w:tr>
      <w:tr w14:paraId="00F4260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D491F3A">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BDBC6D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净利润（万元）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4F21E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-366.70</w:t>
            </w:r>
          </w:p>
        </w:tc>
      </w:tr>
      <w:tr w14:paraId="2E4640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45"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37FF4C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资产评估</w:t>
            </w:r>
          </w:p>
          <w:p w14:paraId="0DC04A8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情况</w:t>
            </w: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EFA3EA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评估机构</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B8EE22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中通诚资产评估有限公司</w:t>
            </w:r>
          </w:p>
        </w:tc>
      </w:tr>
      <w:tr w14:paraId="34625B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4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427D810">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C3E661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评估报告书编号</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AC637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中通评报字</w:t>
            </w:r>
            <w:r>
              <w:rPr>
                <w:rFonts w:hint="default" w:ascii="sans-serif" w:hAnsi="sans-serif" w:eastAsia="sans-serif" w:cs="sans-serif"/>
                <w:i w:val="0"/>
                <w:iCs w:val="0"/>
                <w:caps w:val="0"/>
                <w:color w:val="333333"/>
                <w:spacing w:val="0"/>
                <w:kern w:val="0"/>
                <w:sz w:val="19"/>
                <w:szCs w:val="19"/>
                <w:bdr w:val="none" w:color="auto" w:sz="0" w:space="0"/>
                <w:lang w:val="en-US" w:eastAsia="zh-CN" w:bidi="ar"/>
              </w:rPr>
              <w:t>〔2026〕21079号</w:t>
            </w:r>
          </w:p>
        </w:tc>
      </w:tr>
      <w:tr w14:paraId="375441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4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FD48312">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430E32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评估核准（备案）单位</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80D00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苏州市相城区人民政府国有资产监督管理办公室</w:t>
            </w:r>
          </w:p>
        </w:tc>
      </w:tr>
      <w:tr w14:paraId="1AC396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38"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3B08A15">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94614D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评估基准日</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188886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2025年12月31日</w:t>
            </w:r>
          </w:p>
        </w:tc>
      </w:tr>
      <w:tr w14:paraId="0976FD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trHeight w:val="34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B0A5F7A">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389FA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标的企业评估值(万元)</w:t>
            </w:r>
          </w:p>
        </w:tc>
        <w:tc>
          <w:tcPr>
            <w:tcW w:w="240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4C1E2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资产总额：8735.11</w:t>
            </w:r>
          </w:p>
        </w:tc>
        <w:tc>
          <w:tcPr>
            <w:tcW w:w="214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9CCC76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净资产：1684.57</w:t>
            </w:r>
          </w:p>
        </w:tc>
      </w:tr>
      <w:tr w14:paraId="0E7065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419"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38079D0">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C19BF5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转让标的对应评估值</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7A9A3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842285元（5%股权）</w:t>
            </w:r>
          </w:p>
        </w:tc>
      </w:tr>
      <w:tr w14:paraId="3EDE37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02"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39C85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特别事项</w:t>
            </w:r>
          </w:p>
          <w:p w14:paraId="30AE318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说明</w:t>
            </w: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3BDE3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涉及国有划拨土地处置方案</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E1F1A2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不涉及</w:t>
            </w:r>
          </w:p>
        </w:tc>
      </w:tr>
      <w:tr w14:paraId="25FD0D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45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B9B5A42">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3CF5D6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涉及的职工安置方案</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17B9AA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不涉及</w:t>
            </w:r>
          </w:p>
        </w:tc>
      </w:tr>
      <w:tr w14:paraId="510274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70"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FCD5574">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06B5F8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涉及金融债务或其他重要债务</w:t>
            </w:r>
          </w:p>
          <w:p w14:paraId="3F33F70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处置方案</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6E49ED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不涉及</w:t>
            </w:r>
          </w:p>
        </w:tc>
      </w:tr>
      <w:tr w14:paraId="7CB3BF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70"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7465ECB">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58753D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管理层参与收购情况</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2CD3E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不涉及</w:t>
            </w:r>
          </w:p>
        </w:tc>
      </w:tr>
      <w:tr w14:paraId="52A861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70"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1903411">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967A0B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有限责任公司其他股东是否放弃优先受让权</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29252B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苏州朗恩光电科技有限公司不放弃</w:t>
            </w:r>
          </w:p>
          <w:p w14:paraId="6D5E35C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中亿丰控股集团有限公司放弃</w:t>
            </w:r>
          </w:p>
        </w:tc>
      </w:tr>
      <w:tr w14:paraId="4EC57A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270"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515ED47">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1FD414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对外资收购有无限制或禁止规定</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609F55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不涉及</w:t>
            </w:r>
          </w:p>
        </w:tc>
      </w:tr>
      <w:tr w14:paraId="2AD9F1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rPr>
          <w:wAfter w:w="0" w:type="auto"/>
          <w:trHeight w:val="270"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62A36E8">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A10FAC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涉及的上市公司国有股性质变化</w:t>
            </w:r>
          </w:p>
        </w:tc>
        <w:tc>
          <w:tcPr>
            <w:tcW w:w="4545"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7CF91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不涉及</w:t>
            </w:r>
          </w:p>
        </w:tc>
      </w:tr>
      <w:tr w14:paraId="4C6199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61"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CCE0411">
            <w:pPr>
              <w:rPr>
                <w:rFonts w:hint="default" w:ascii="sans-serif" w:hAnsi="sans-serif" w:eastAsia="sans-serif" w:cs="sans-serif"/>
                <w:i w:val="0"/>
                <w:iCs w:val="0"/>
                <w:caps w:val="0"/>
                <w:color w:val="333333"/>
                <w:spacing w:val="0"/>
                <w:sz w:val="21"/>
                <w:szCs w:val="21"/>
              </w:rPr>
            </w:pPr>
          </w:p>
        </w:tc>
        <w:tc>
          <w:tcPr>
            <w:tcW w:w="4455" w:type="dxa"/>
            <w:gridSpan w:val="3"/>
            <w:tcBorders>
              <w:top w:val="nil"/>
              <w:left w:val="nil"/>
              <w:bottom w:val="nil"/>
              <w:right w:val="single" w:color="auto" w:sz="8" w:space="0"/>
            </w:tcBorders>
            <w:shd w:val="clear" w:color="auto" w:fill="FFFFFF"/>
            <w:tcMar>
              <w:left w:w="108" w:type="dxa"/>
              <w:right w:w="108" w:type="dxa"/>
            </w:tcMar>
            <w:vAlign w:val="center"/>
          </w:tcPr>
          <w:p w14:paraId="2A38332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评估基准日到挂牌起始日期间权益增加额</w:t>
            </w:r>
          </w:p>
        </w:tc>
        <w:tc>
          <w:tcPr>
            <w:tcW w:w="4545" w:type="dxa"/>
            <w:gridSpan w:val="2"/>
            <w:tcBorders>
              <w:top w:val="nil"/>
              <w:left w:val="nil"/>
              <w:bottom w:val="nil"/>
              <w:right w:val="single" w:color="auto" w:sz="8" w:space="0"/>
            </w:tcBorders>
            <w:shd w:val="clear" w:color="auto" w:fill="FFFFFF"/>
            <w:tcMar>
              <w:left w:w="108" w:type="dxa"/>
              <w:right w:w="108" w:type="dxa"/>
            </w:tcMar>
            <w:vAlign w:val="center"/>
          </w:tcPr>
          <w:p w14:paraId="05A3C1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参见其他说明第3条</w:t>
            </w:r>
          </w:p>
        </w:tc>
      </w:tr>
      <w:tr w14:paraId="063D5E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61"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A00449D">
            <w:pPr>
              <w:rPr>
                <w:rFonts w:hint="default" w:ascii="sans-serif" w:hAnsi="sans-serif" w:eastAsia="sans-serif" w:cs="sans-serif"/>
                <w:i w:val="0"/>
                <w:iCs w:val="0"/>
                <w:caps w:val="0"/>
                <w:color w:val="333333"/>
                <w:spacing w:val="0"/>
                <w:sz w:val="21"/>
                <w:szCs w:val="21"/>
              </w:rPr>
            </w:pPr>
          </w:p>
        </w:tc>
        <w:tc>
          <w:tcPr>
            <w:tcW w:w="4455" w:type="dxa"/>
            <w:gridSpan w:val="3"/>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14:paraId="425DED4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其他重要事项</w:t>
            </w:r>
          </w:p>
        </w:tc>
        <w:tc>
          <w:tcPr>
            <w:tcW w:w="4545"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14:paraId="5CA5FB6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无</w:t>
            </w:r>
          </w:p>
        </w:tc>
      </w:tr>
      <w:tr w14:paraId="62CAA0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456"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6914A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转让参考价格</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4742A1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人民币1689452.05元</w:t>
            </w:r>
          </w:p>
        </w:tc>
      </w:tr>
      <w:tr w14:paraId="580560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208"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B1EB0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受让方应具备的具体条件</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07AD8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1、意向受让方应为合法注册有效存续的企业法人；不接受联合体报名；</w:t>
            </w:r>
          </w:p>
          <w:p w14:paraId="32E4AC5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2、意向受让方须具有良好的财务状况和支付能力，受让资金来源合法；</w:t>
            </w:r>
          </w:p>
          <w:p w14:paraId="2A70308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3、意向受让方须符合国家法律、行政法规规定的其他条件，参与本次收购不存在其他法律、法规规定的禁止性情形；</w:t>
            </w:r>
          </w:p>
          <w:p w14:paraId="58F98ED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4、意向受让方为境外投资者的，须承诺符合外商投资产业指导目录和负面清单管理要求，以及外商投资安全审查有关规定；</w:t>
            </w:r>
          </w:p>
          <w:p w14:paraId="504180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5、意向受让方应在资格审核完成后3个工作日内向苏州产权交易中心有限公司指定账户交纳保证金30万元，以确定参与本次受让，交易中心仅接受以意向受让方自身名义以转账方式交纳的交易保证金。意向受让方未能如期足额交纳保证金的，视为放弃本次受让。</w:t>
            </w:r>
          </w:p>
        </w:tc>
      </w:tr>
      <w:tr w14:paraId="45F27B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1269"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449E8B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备查文件</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C0C1A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1、苏州中亿丰光电有限公司营业执照</w:t>
            </w:r>
          </w:p>
          <w:p w14:paraId="6F1CF5A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2、苏州中亿丰光电有限公司企业章程</w:t>
            </w:r>
          </w:p>
          <w:p w14:paraId="7C8EFF5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3、苏州中亿丰光电有限公司2026年第三次临时股东会会议决议</w:t>
            </w:r>
          </w:p>
          <w:p w14:paraId="33FDB25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4、苏州中亿丰光电有限公司工商登记资料查询表</w:t>
            </w:r>
          </w:p>
          <w:p w14:paraId="6D685D5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5、苏州和淼投资有限公司营业执照</w:t>
            </w:r>
          </w:p>
          <w:p w14:paraId="2E0AFED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6、苏州和淼投资有限公司企业章程</w:t>
            </w:r>
          </w:p>
          <w:p w14:paraId="2F5A5C2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7、苏州和淼投资有限公司党支部支委会议纪要〔2026〕10号</w:t>
            </w:r>
          </w:p>
          <w:p w14:paraId="6B6C764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8、苏州和淼投资有限公司董事会决议〔2026〕6号</w:t>
            </w:r>
          </w:p>
          <w:p w14:paraId="1F9292F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9、苏州市相城城市建设投资（集团）有限公司党委会纪要〔2026〕11号</w:t>
            </w:r>
          </w:p>
          <w:p w14:paraId="551AF9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10、苏州市相城城市建设投资（集团）有限公司董事会决议〔2026〕11号</w:t>
            </w:r>
          </w:p>
          <w:p w14:paraId="2064195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11、关于苏州和淼投资有限公司公开转让苏州中亿丰光电有限公司5%股权的请示(苏相和淼〔2026〕2号)</w:t>
            </w:r>
          </w:p>
          <w:p w14:paraId="43E3011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12、关于苏州和淼投资有限公司拟公开转让苏州中亿丰光电有限公司5%股权的请示(苏相城投〔2026〕33号)</w:t>
            </w:r>
          </w:p>
          <w:p w14:paraId="2C4546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13、关于同意城投集团公开转让苏州中亿丰光电有限公司5%股权的批复（相国资产〔2026〕10号）</w:t>
            </w:r>
          </w:p>
          <w:p w14:paraId="5138B7A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14、《苏州中亿丰光电有限公司拟股权转让事宜涉及其股东全部权益价值资产评估报告》（</w:t>
            </w:r>
            <w:bookmarkStart w:id="1" w:name="OLE_LINK1"/>
            <w:bookmarkEnd w:id="1"/>
            <w:r>
              <w:rPr>
                <w:rFonts w:hint="default" w:ascii="sans-serif" w:hAnsi="sans-serif" w:eastAsia="sans-serif" w:cs="sans-serif"/>
                <w:i w:val="0"/>
                <w:iCs w:val="0"/>
                <w:caps w:val="0"/>
                <w:color w:val="333333"/>
                <w:spacing w:val="0"/>
                <w:kern w:val="0"/>
                <w:sz w:val="21"/>
                <w:szCs w:val="21"/>
                <w:bdr w:val="none" w:color="auto" w:sz="0" w:space="0"/>
                <w:lang w:val="en-US" w:eastAsia="zh-CN" w:bidi="ar"/>
              </w:rPr>
              <w:t>中通评报字〔2026〕21079号）</w:t>
            </w:r>
          </w:p>
          <w:p w14:paraId="6783E16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15、国有资产评估项目备案表</w:t>
            </w:r>
          </w:p>
          <w:p w14:paraId="0956A00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16、苏州中亿丰光电有限公司2025年度财务报表审计报告（苏德明年审字【2026】第1-0026号）</w:t>
            </w:r>
          </w:p>
          <w:p w14:paraId="1A9A67C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17、苏州中亿丰光电有限公司近期财务报表</w:t>
            </w:r>
          </w:p>
          <w:p w14:paraId="496D57D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18、苏州中亿丰光电有限公司国有产权转让方案</w:t>
            </w:r>
          </w:p>
          <w:p w14:paraId="1A48C03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19、关于苏州和淼投资有限公司拟转让所持苏州中亿丰光电有限公司5%股权事项之法律意见书</w:t>
            </w:r>
          </w:p>
          <w:p w14:paraId="1D694A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20、拟与受让方签署的《股权转让协议》</w:t>
            </w:r>
          </w:p>
          <w:p w14:paraId="2F5727A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21、转让方承诺函</w:t>
            </w:r>
          </w:p>
          <w:p w14:paraId="5A2B3D0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22、其他相关材料</w:t>
            </w:r>
          </w:p>
        </w:tc>
      </w:tr>
      <w:tr w14:paraId="53AED1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1703" w:hRule="atLeast"/>
        </w:trPr>
        <w:tc>
          <w:tcPr>
            <w:tcW w:w="134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39384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其他说明</w:t>
            </w:r>
          </w:p>
        </w:tc>
        <w:tc>
          <w:tcPr>
            <w:tcW w:w="9000" w:type="dxa"/>
            <w:gridSpan w:val="5"/>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6AE105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1、至本公告挂牌期满，只产生一个合格意向受让方的，由产权交易机构组织交易双方按照转让底价与合格意向受让方报价孰高原则确定交易价格；若征集到两个或两个以上合格意向受让方，将采用电子竞价方式确定最终受让方、交易价格。</w:t>
            </w: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本次公开转让所产生的相关交易服务费用由交易双方各自承担。采用电子竞价方式所产生的加收服务费全部由受让方承担（收费参照《苏州产权交易中心产权交易服务收费办法》执行）。</w:t>
            </w:r>
          </w:p>
          <w:p w14:paraId="765C16C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2、意向受让方应在被确定为最终受让方后的5个工作日内与转让方签订产权交易合同，并在产权交易合同签订生效后5个工作日内，将除保证金外的剩余交易价款一次性支付到产交中心指定账户。</w:t>
            </w:r>
          </w:p>
          <w:p w14:paraId="093EDAC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3、交易双方不得在产权交易合同中或以其他方式约定股权回购、利益补偿等内容，不得以交易期间（从评估基准日起至完成股权变更期间）企业经营性损益等理由对已达成的交易条件和交易价格进行调整。</w:t>
            </w:r>
          </w:p>
          <w:p w14:paraId="4A48BD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4、意向受让方一旦通过资格确认且交纳交易保证金，即视为对如下内容作出承诺。非因转让方的原因，意向受让方存在以下任何一种情形，将承担缔约过失责任，交易中心有权依转让方申请扣除意向受让方的保证金，作为对相关方的补偿，保证金不足以补偿的，相关方可按实际损失继续追诉：（1）意向受让方提交受让申请并交纳交易保证金后单方撤回受让申请的：（2）在电子竞价中以挂牌价为起始价格，各意向受让方均未有效报价的；（3）被确定为最终受让方后在公告约定时间内拒绝签订产权交易合同的。</w:t>
            </w:r>
          </w:p>
          <w:p w14:paraId="60DD87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5、意向受让方应在本次公告挂牌期内通过e交易系统按照相关要求进行实名会员注册（注册信息须真实、完整、准确），对转让标的提交受让申请，并按本公告要求向产交中心提交相关报名材料原件。意向受让方须对其注册账户及密码安全负责，其注册账户及密码在e交易系统的一切行为，均视为该意向受让方的自身行为。</w:t>
            </w:r>
          </w:p>
          <w:p w14:paraId="01A32CB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意向受让方在竞价前请务必遵照e交易平台（</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begin"/>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instrText xml:space="preserve"> HYPERLINK "http://www.ejy365.com/" \t "/home/huawei/文档\\x/_blank" </w:instrTex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separate"/>
            </w:r>
            <w:r>
              <w:rPr>
                <w:rStyle w:val="9"/>
                <w:rFonts w:hint="default" w:ascii="sans-serif" w:hAnsi="sans-serif" w:eastAsia="sans-serif" w:cs="sans-serif"/>
                <w:i w:val="0"/>
                <w:iCs w:val="0"/>
                <w:caps w:val="0"/>
                <w:color w:val="000000"/>
                <w:spacing w:val="0"/>
                <w:sz w:val="21"/>
                <w:szCs w:val="21"/>
                <w:u w:val="none"/>
                <w:bdr w:val="none" w:color="auto" w:sz="0" w:space="0"/>
                <w:lang w:val="en-US"/>
              </w:rPr>
              <w:t>www.ejy365.com</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end"/>
            </w:r>
            <w:r>
              <w:rPr>
                <w:rFonts w:hint="default" w:ascii="sans-serif" w:hAnsi="sans-serif" w:eastAsia="sans-serif" w:cs="sans-serif"/>
                <w:i w:val="0"/>
                <w:iCs w:val="0"/>
                <w:caps w:val="0"/>
                <w:color w:val="333333"/>
                <w:spacing w:val="0"/>
                <w:kern w:val="0"/>
                <w:sz w:val="21"/>
                <w:szCs w:val="21"/>
                <w:bdr w:val="none" w:color="auto" w:sz="0" w:space="0"/>
                <w:lang w:val="en-US" w:eastAsia="zh-CN" w:bidi="ar"/>
              </w:rPr>
              <w:t>）的</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begin"/>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instrText xml:space="preserve"> HYPERLINK "https://www.ejy365.com/newsinfo?infoid=f87a98ef-df11-4ea7-9100-98370f06af9a" \t "/home/huawei/文档\\x/_blank" </w:instrTex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separate"/>
            </w:r>
            <w:r>
              <w:rPr>
                <w:rStyle w:val="9"/>
                <w:rFonts w:hint="default" w:ascii="sans-serif" w:hAnsi="sans-serif" w:eastAsia="sans-serif" w:cs="sans-serif"/>
                <w:i w:val="0"/>
                <w:iCs w:val="0"/>
                <w:caps w:val="0"/>
                <w:color w:val="000000"/>
                <w:spacing w:val="0"/>
                <w:sz w:val="21"/>
                <w:szCs w:val="21"/>
                <w:u w:val="none"/>
                <w:bdr w:val="none" w:color="auto" w:sz="0" w:space="0"/>
                <w:lang w:val="en-US"/>
              </w:rPr>
              <w:t>《e交易平台会员注册须知》</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end"/>
            </w:r>
            <w:r>
              <w:rPr>
                <w:rFonts w:hint="default" w:ascii="sans-serif" w:hAnsi="sans-serif" w:eastAsia="sans-serif" w:cs="sans-serif"/>
                <w:i w:val="0"/>
                <w:iCs w:val="0"/>
                <w:caps w:val="0"/>
                <w:color w:val="333333"/>
                <w:spacing w:val="0"/>
                <w:kern w:val="0"/>
                <w:sz w:val="21"/>
                <w:szCs w:val="21"/>
                <w:bdr w:val="none" w:color="auto" w:sz="0" w:space="0"/>
                <w:lang w:val="en-US" w:eastAsia="zh-CN" w:bidi="ar"/>
              </w:rPr>
              <w:t>、</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begin"/>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instrText xml:space="preserve"> HYPERLINK "https://www.ejy365.com/newsinfo?infoid=6820a56e-49af-446f-af89-2f1ce942c8be" \t "/home/huawei/文档\\x/_blank" </w:instrTex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separate"/>
            </w:r>
            <w:r>
              <w:rPr>
                <w:rStyle w:val="9"/>
                <w:rFonts w:hint="default" w:ascii="sans-serif" w:hAnsi="sans-serif" w:eastAsia="sans-serif" w:cs="sans-serif"/>
                <w:i w:val="0"/>
                <w:iCs w:val="0"/>
                <w:caps w:val="0"/>
                <w:color w:val="000000"/>
                <w:spacing w:val="0"/>
                <w:sz w:val="21"/>
                <w:szCs w:val="21"/>
                <w:u w:val="none"/>
                <w:bdr w:val="none" w:color="auto" w:sz="0" w:space="0"/>
                <w:lang w:val="en-US"/>
              </w:rPr>
              <w:t>《e交易平台电子交易风险告知及接受确认书》</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end"/>
            </w:r>
            <w:r>
              <w:rPr>
                <w:rFonts w:hint="default" w:ascii="sans-serif" w:hAnsi="sans-serif" w:eastAsia="sans-serif" w:cs="sans-serif"/>
                <w:i w:val="0"/>
                <w:iCs w:val="0"/>
                <w:caps w:val="0"/>
                <w:color w:val="333333"/>
                <w:spacing w:val="0"/>
                <w:kern w:val="0"/>
                <w:sz w:val="21"/>
                <w:szCs w:val="21"/>
                <w:bdr w:val="none" w:color="auto" w:sz="0" w:space="0"/>
                <w:lang w:val="en-US" w:eastAsia="zh-CN" w:bidi="ar"/>
              </w:rPr>
              <w:t>、</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begin"/>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instrText xml:space="preserve"> HYPERLINK "https://www.ejy365.com/newsinfo?infoid=4aebf9fb-fd9d-4390-8278-f4976b344183" \t "/home/huawei/文档\\x/_blank" </w:instrTex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separate"/>
            </w:r>
            <w:r>
              <w:rPr>
                <w:rStyle w:val="9"/>
                <w:rFonts w:hint="default" w:ascii="sans-serif" w:hAnsi="sans-serif" w:eastAsia="sans-serif" w:cs="sans-serif"/>
                <w:i w:val="0"/>
                <w:iCs w:val="0"/>
                <w:caps w:val="0"/>
                <w:color w:val="000000"/>
                <w:spacing w:val="0"/>
                <w:sz w:val="21"/>
                <w:szCs w:val="21"/>
                <w:u w:val="none"/>
                <w:bdr w:val="none" w:color="auto" w:sz="0" w:space="0"/>
                <w:lang w:val="en-US"/>
              </w:rPr>
              <w:t>《e交易平台电子竞价交易规则》</w:t>
            </w:r>
            <w:r>
              <w:rPr>
                <w:rFonts w:hint="default" w:ascii="sans-serif" w:hAnsi="sans-serif" w:eastAsia="sans-serif" w:cs="sans-serif"/>
                <w:i w:val="0"/>
                <w:iCs w:val="0"/>
                <w:caps w:val="0"/>
                <w:color w:val="0069CC"/>
                <w:spacing w:val="0"/>
                <w:kern w:val="0"/>
                <w:sz w:val="24"/>
                <w:szCs w:val="24"/>
                <w:u w:val="none"/>
                <w:bdr w:val="none" w:color="auto" w:sz="0" w:space="0"/>
                <w:lang w:val="en-US" w:eastAsia="zh-CN" w:bidi="ar"/>
              </w:rPr>
              <w:fldChar w:fldCharType="end"/>
            </w:r>
            <w:r>
              <w:rPr>
                <w:rFonts w:hint="default" w:ascii="sans-serif" w:hAnsi="sans-serif" w:eastAsia="sans-serif" w:cs="sans-serif"/>
                <w:i w:val="0"/>
                <w:iCs w:val="0"/>
                <w:caps w:val="0"/>
                <w:color w:val="333333"/>
                <w:spacing w:val="0"/>
                <w:kern w:val="0"/>
                <w:sz w:val="21"/>
                <w:szCs w:val="21"/>
                <w:bdr w:val="none" w:color="auto" w:sz="0" w:space="0"/>
                <w:lang w:val="en-US" w:eastAsia="zh-CN" w:bidi="ar"/>
              </w:rPr>
              <w:t>等要求，了解标的情况、竞价资格、注册报名、竞价操作等内容。如未全面了解相关内容，违反相关规定，您可能承担无法参与项目竞价、保证金不予退还等不利后果，请审慎参与竞价。建议使用pc端竞价，如果使用移动端竞价，在竞价过程中收到手机来电可能会导致移动端网络中断，影响正常竞价。</w:t>
            </w:r>
          </w:p>
          <w:p w14:paraId="4F8597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6、意向受让方办理登记报名手续时需提交的相应材料，</w:t>
            </w: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企业法人或其他组织包括：</w:t>
            </w:r>
            <w:r>
              <w:rPr>
                <w:rFonts w:hint="default" w:ascii="sans-serif" w:hAnsi="sans-serif" w:eastAsia="sans-serif" w:cs="sans-serif"/>
                <w:i w:val="0"/>
                <w:iCs w:val="0"/>
                <w:caps w:val="0"/>
                <w:color w:val="333333"/>
                <w:spacing w:val="0"/>
                <w:kern w:val="0"/>
                <w:sz w:val="21"/>
                <w:szCs w:val="21"/>
                <w:bdr w:val="none" w:color="auto" w:sz="0" w:space="0"/>
                <w:lang w:val="en-US" w:eastAsia="zh-CN" w:bidi="ar"/>
              </w:rPr>
              <w:t>章程、同意受让股权的决议文件、营业执照复印件、近期的财务报表（近三个月）、法定代表人身份证复印件、授权委托书、受托人身份证复印件、《基本情况登记表》、《承诺函》等，上述材料均需加盖公章。意向受让方应在本次公告时间截止后3个工作日内，将上述材料递送至苏州市高新区邓尉路105号狮山科技馆6楼603室。如意向受让方未在规定时间内将有效材料送达的，则视为放弃报名本项目。</w:t>
            </w:r>
          </w:p>
          <w:p w14:paraId="4986E2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7、本公告仅为本次转让项目的简要说明。投资人在做出申请受让决定之前，应首先仔细阅读本公告内容以及《审计报告》、《评估报告》和转让方提供的其他资料，并在本项目挂牌期间进行相应的尽职调查和风险评估，审慎决策。</w:t>
            </w:r>
          </w:p>
        </w:tc>
      </w:tr>
      <w:tr w14:paraId="4A3E3D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00" w:hRule="atLeast"/>
        </w:trPr>
        <w:tc>
          <w:tcPr>
            <w:tcW w:w="134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3DA3FA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center"/>
              <w:rPr>
                <w:sz w:val="24"/>
                <w:szCs w:val="24"/>
              </w:rPr>
            </w:pPr>
            <w:r>
              <w:rPr>
                <w:rFonts w:hint="default" w:ascii="sans-serif" w:hAnsi="sans-serif" w:eastAsia="sans-serif" w:cs="sans-serif"/>
                <w:b/>
                <w:bCs/>
                <w:i w:val="0"/>
                <w:iCs w:val="0"/>
                <w:caps w:val="0"/>
                <w:color w:val="333333"/>
                <w:spacing w:val="0"/>
                <w:kern w:val="0"/>
                <w:sz w:val="21"/>
                <w:szCs w:val="21"/>
                <w:bdr w:val="none" w:color="auto" w:sz="0" w:space="0"/>
                <w:lang w:val="en-US" w:eastAsia="zh-CN" w:bidi="ar"/>
              </w:rPr>
              <w:t>联系方式</w:t>
            </w:r>
          </w:p>
        </w:tc>
        <w:tc>
          <w:tcPr>
            <w:tcW w:w="249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19289A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联系人</w:t>
            </w:r>
          </w:p>
        </w:tc>
        <w:tc>
          <w:tcPr>
            <w:tcW w:w="6503" w:type="dxa"/>
            <w:gridSpan w:val="4"/>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53B8DE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刘先生</w:t>
            </w:r>
          </w:p>
        </w:tc>
      </w:tr>
      <w:tr w14:paraId="3FEDC4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1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BABDD4A">
            <w:pPr>
              <w:rPr>
                <w:rFonts w:hint="default" w:ascii="sans-serif" w:hAnsi="sans-serif" w:eastAsia="sans-serif" w:cs="sans-serif"/>
                <w:i w:val="0"/>
                <w:iCs w:val="0"/>
                <w:caps w:val="0"/>
                <w:color w:val="333333"/>
                <w:spacing w:val="0"/>
                <w:sz w:val="21"/>
                <w:szCs w:val="21"/>
              </w:rPr>
            </w:pPr>
          </w:p>
        </w:tc>
        <w:tc>
          <w:tcPr>
            <w:tcW w:w="249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12FB7B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联系电话</w:t>
            </w:r>
          </w:p>
        </w:tc>
        <w:tc>
          <w:tcPr>
            <w:tcW w:w="6503" w:type="dxa"/>
            <w:gridSpan w:val="4"/>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FB9F4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0512-69820615</w:t>
            </w:r>
          </w:p>
        </w:tc>
      </w:tr>
      <w:tr w14:paraId="271AD2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1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0295660">
            <w:pPr>
              <w:rPr>
                <w:rFonts w:hint="default" w:ascii="sans-serif" w:hAnsi="sans-serif" w:eastAsia="sans-serif" w:cs="sans-serif"/>
                <w:i w:val="0"/>
                <w:iCs w:val="0"/>
                <w:caps w:val="0"/>
                <w:color w:val="333333"/>
                <w:spacing w:val="0"/>
                <w:sz w:val="21"/>
                <w:szCs w:val="21"/>
              </w:rPr>
            </w:pPr>
          </w:p>
        </w:tc>
        <w:tc>
          <w:tcPr>
            <w:tcW w:w="249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4A8683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咨询地址</w:t>
            </w:r>
          </w:p>
        </w:tc>
        <w:tc>
          <w:tcPr>
            <w:tcW w:w="6503" w:type="dxa"/>
            <w:gridSpan w:val="4"/>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46D067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苏州市高新区邓尉路105号狮山科技馆6楼</w:t>
            </w:r>
          </w:p>
        </w:tc>
      </w:tr>
      <w:tr w14:paraId="179937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wAfter w:w="0" w:type="auto"/>
          <w:trHeight w:val="315" w:hRule="atLeast"/>
        </w:trPr>
        <w:tc>
          <w:tcPr>
            <w:tcW w:w="134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B05AA42">
            <w:pPr>
              <w:rPr>
                <w:rFonts w:hint="default" w:ascii="sans-serif" w:hAnsi="sans-serif" w:eastAsia="sans-serif" w:cs="sans-serif"/>
                <w:i w:val="0"/>
                <w:iCs w:val="0"/>
                <w:caps w:val="0"/>
                <w:color w:val="333333"/>
                <w:spacing w:val="0"/>
                <w:sz w:val="21"/>
                <w:szCs w:val="21"/>
              </w:rPr>
            </w:pPr>
          </w:p>
        </w:tc>
        <w:tc>
          <w:tcPr>
            <w:tcW w:w="249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DC9411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技术支持</w:t>
            </w:r>
          </w:p>
        </w:tc>
        <w:tc>
          <w:tcPr>
            <w:tcW w:w="6503" w:type="dxa"/>
            <w:gridSpan w:val="4"/>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F3EECA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sz w:val="24"/>
                <w:szCs w:val="24"/>
              </w:rPr>
            </w:pPr>
            <w:r>
              <w:rPr>
                <w:rFonts w:hint="default" w:ascii="sans-serif" w:hAnsi="sans-serif" w:eastAsia="sans-serif" w:cs="sans-serif"/>
                <w:i w:val="0"/>
                <w:iCs w:val="0"/>
                <w:caps w:val="0"/>
                <w:color w:val="333333"/>
                <w:spacing w:val="0"/>
                <w:kern w:val="0"/>
                <w:sz w:val="21"/>
                <w:szCs w:val="21"/>
                <w:bdr w:val="none" w:color="auto" w:sz="0" w:space="0"/>
                <w:lang w:val="en-US" w:eastAsia="zh-CN" w:bidi="ar"/>
              </w:rPr>
              <w:t>400-828-9082、400-828-0799</w:t>
            </w:r>
          </w:p>
        </w:tc>
      </w:tr>
    </w:tbl>
    <w:p w14:paraId="0A4C9806">
      <w:pPr>
        <w:rPr>
          <w:rFonts w:hint="eastAsia"/>
          <w:lang w:val="en-US" w:eastAsia="zh-CN"/>
        </w:rPr>
      </w:pPr>
    </w:p>
    <w:sectPr>
      <w:pgSz w:w="11906" w:h="16838"/>
      <w:pgMar w:top="1497" w:right="669" w:bottom="1610" w:left="89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HarmonyOS Sans SC">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sans-serif">
    <w:altName w:val="C059"/>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D755F5"/>
    <w:rsid w:val="006B4F71"/>
    <w:rsid w:val="09000221"/>
    <w:rsid w:val="13C24A51"/>
    <w:rsid w:val="1537146E"/>
    <w:rsid w:val="1C393D1E"/>
    <w:rsid w:val="1C746B04"/>
    <w:rsid w:val="21233800"/>
    <w:rsid w:val="23975CF1"/>
    <w:rsid w:val="256516E0"/>
    <w:rsid w:val="26AF5308"/>
    <w:rsid w:val="2DC7118A"/>
    <w:rsid w:val="341E7629"/>
    <w:rsid w:val="357D65D2"/>
    <w:rsid w:val="37AD13F0"/>
    <w:rsid w:val="3BFC64A2"/>
    <w:rsid w:val="3FF77B49"/>
    <w:rsid w:val="4B402764"/>
    <w:rsid w:val="5095081C"/>
    <w:rsid w:val="53A56FC8"/>
    <w:rsid w:val="53BF0089"/>
    <w:rsid w:val="56EB24D4"/>
    <w:rsid w:val="5B1BA86C"/>
    <w:rsid w:val="5E5E38C8"/>
    <w:rsid w:val="63D755F5"/>
    <w:rsid w:val="649C7EE2"/>
    <w:rsid w:val="6615622F"/>
    <w:rsid w:val="67B35CFF"/>
    <w:rsid w:val="6FBB14E7"/>
    <w:rsid w:val="74795BDB"/>
    <w:rsid w:val="77F58C86"/>
    <w:rsid w:val="7860158C"/>
    <w:rsid w:val="7CF93D5D"/>
    <w:rsid w:val="7EF50554"/>
    <w:rsid w:val="7FA7C10A"/>
    <w:rsid w:val="DFFF1982"/>
    <w:rsid w:val="EFF7ABBA"/>
    <w:rsid w:val="F7462FA5"/>
    <w:rsid w:val="F7B06D2D"/>
    <w:rsid w:val="F7FF3E6B"/>
    <w:rsid w:val="FDCBB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1035</Words>
  <Characters>1079</Characters>
  <Lines>0</Lines>
  <Paragraphs>0</Paragraphs>
  <TotalTime>27</TotalTime>
  <ScaleCrop>false</ScaleCrop>
  <LinksUpToDate>false</LinksUpToDate>
  <CharactersWithSpaces>1091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2026-01-31T03:05:00Z</dcterms:created>
  <dc:creator>WPS_201195366</dc:creator>
  <cp:lastModifiedBy>huawei</cp:lastModifiedBy>
  <cp:lastPrinted>2026-02-05T01:13:00Z</cp:lastPrinted>
  <dcterms:modified xsi:type="dcterms:W3CDTF">2026-08-18T11:00:24Z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49E211A06BF545E8B4E4D254A70EE692_11</vt:lpwstr>
  </property>
  <property fmtid="{D5CDD505-2E9C-101B-9397-08002B2CF9AE}" pid="4" name="KSOTemplateDocerSaveRecord">
    <vt:lpwstr>eyJoZGlkIjoiNWM1YWViZWVkYzI1MDk1YjhkNTEwNzdiMGE0OWJlMzEiLCJ1c2VySWQiOiIyMDExOTUzNjYifQ==</vt:lpwstr>
  </property>
</Properties>
</file>