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2022年工作总结和2023年工作打算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苏州市人力资源和社会保障局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202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年是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党的二十大胜利召开的喜庆之年，也是向第二个百年奋斗目标进军的开局之年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。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一年来，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全市人社部门在市委市政府的正确领导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和省人社厅的悉心指导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下，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全面贯彻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习近平新时代中国特色社会主义思想，深入学习贯彻党的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二十大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精神，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认真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落实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上级各项决策部署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，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奋力战疫情、稳就业、惠民生、聚人才、促和谐、优服务，全面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展现人社部门“挑重担、扛重责”的担当作为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努力推动人社事业</w:t>
      </w:r>
      <w:r>
        <w:rPr>
          <w:rFonts w:hint="eastAsia" w:ascii="Times New Roman" w:eastAsia="仿宋_GB2312" w:cs="仿宋_GB2312"/>
          <w:sz w:val="32"/>
          <w:szCs w:val="32"/>
          <w:highlight w:val="none"/>
          <w:lang w:eastAsia="zh-CN"/>
        </w:rPr>
        <w:t>再上新台阶</w:t>
      </w:r>
      <w:r>
        <w:rPr>
          <w:rFonts w:hint="eastAsia" w:asci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2022年主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要</w:t>
      </w:r>
      <w:r>
        <w:rPr>
          <w:rFonts w:ascii="Times New Roman" w:hAnsi="Times New Roman" w:eastAsia="黑体" w:cs="Times New Roman"/>
          <w:sz w:val="32"/>
          <w:szCs w:val="32"/>
        </w:rPr>
        <w:t>工作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成效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楷体_GB2312" w:hAnsi="楷体_GB2312" w:eastAsia="楷体_GB2312" w:cs="楷体_GB2312"/>
          <w:sz w:val="32"/>
          <w:szCs w:val="24"/>
        </w:rPr>
        <w:t>服务全局彰显人社担当。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市局13个基层党组织累计出动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78批次2992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人次一线战疫，志愿服务时长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近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万小时。成立并高效运行人社抗疫复工“1+4+N”专班工作机制，强化跨地区人力资源服务交流协作，</w:t>
      </w:r>
      <w:r>
        <w:rPr>
          <w:rFonts w:hint="eastAsia" w:ascii="Times New Roman" w:hAnsi="Times New Roman" w:eastAsia="仿宋_GB2312"/>
          <w:kern w:val="0"/>
          <w:sz w:val="32"/>
        </w:rPr>
        <w:t>“一企一策”</w:t>
      </w:r>
      <w:r>
        <w:rPr>
          <w:rStyle w:val="11"/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服务重点企业1.32万家，</w:t>
      </w:r>
      <w:r>
        <w:rPr>
          <w:rFonts w:hint="eastAsia" w:ascii="Times New Roman" w:hAnsi="Times New Roman" w:eastAsia="仿宋_GB2312"/>
          <w:kern w:val="0"/>
          <w:sz w:val="32"/>
        </w:rPr>
        <w:t>通过人力资源服务机构解决用工缺口13.8万人</w:t>
      </w:r>
      <w:r>
        <w:rPr>
          <w:rStyle w:val="11"/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简化防疫一线人员的招聘程序，组织全市卫健系统135家单位公开招聘专技人才1852人。分批次组织实施工伤预防改善培训项目，强化与应急、卫健、住建等部门间信息共享，推进工伤保险与安全生产监督协同联动。压紧疫情防控各方责任，指导全市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人力资源服务机构、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技工院校、培训机构等全面落实疫情防控要求。安全有序地完成了各项考试工作任务。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保持就业形势持续稳定。</w:t>
      </w:r>
      <w:r>
        <w:rPr>
          <w:rStyle w:val="11"/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坚持把稳就业保就业作为重大政治任务和首要民生工作，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深入实施就业优先政策，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千方百计稳定和扩大就业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Style w:val="11"/>
          <w:rFonts w:hint="eastAsia" w:ascii="Times New Roman" w:hAnsi="Times New Roman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全市新增就业21.64万人，企业用工备案实有人数达553.6万人，占全省26.59%，达到历史最高水平。第一时间推动“减缓降返补”等各类助企纾困政策免申即享、直达快享，全年“免申即享”发放稳岗返还资金、一次性留工培训补助、一次性扩岗补助政策20.9亿元。延续实施阶段性降低三项社会保险费率政策为企业减负88.79亿元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积极应对疫情影响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开展重点就业困难群体就业帮扶专项行动，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深入开展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年离校未就业高校毕业生服务攻坚行动，累计提供高校毕业生就业岗位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28.97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万个，开发青年就业见习岗位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1.26万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个，组织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894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人参加见习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持续推进百万“姑苏工匠”职业技能提升工程，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年内已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开展职业技能培训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42.12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万人次，发放培训补贴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4.78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织密筑牢社会保障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网络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全面落实企业职工养老保险全国统筹，稳步推进失业保险、工伤保险省级统筹。制定发布被征地农民社会保障资金个人分账户余额处理办法，修订完善市区城乡居民基本养老保险制度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推进参保扩面提质，稳步推进新就业形态就业人员职业伤害保障试点，全省率先推动基层快递网点从业人员参加工伤保险。建设工程新开工项目工伤保险参保率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达100%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。稳步提升城乡居民基础养老金水平，市区城乡居保基础养老金标准从每人每月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元提高至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元/月，市区养老年龄段被征地农民养老补助金标准从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月起提高至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元/月。扩大企业年金覆盖面，探索建立高层次人才企业年金集合计划，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获批全省唯一个人养老金试点城市。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全力</w:t>
      </w:r>
      <w:r>
        <w:rPr>
          <w:rFonts w:hint="eastAsia" w:ascii="楷体_GB2312" w:hAnsi="楷体_GB2312" w:eastAsia="楷体_GB2312" w:cs="楷体_GB2312"/>
          <w:sz w:val="32"/>
          <w:szCs w:val="24"/>
        </w:rPr>
        <w:t>构建</w:t>
      </w:r>
      <w:r>
        <w:rPr>
          <w:rFonts w:hint="eastAsia" w:ascii="楷体_GB2312" w:hAnsi="楷体_GB2312" w:eastAsia="楷体_GB2312" w:cs="楷体_GB2312"/>
          <w:sz w:val="32"/>
          <w:szCs w:val="24"/>
          <w:lang w:val="en-US" w:eastAsia="zh-CN"/>
        </w:rPr>
        <w:t>人才集聚高地</w:t>
      </w:r>
      <w:r>
        <w:rPr>
          <w:rFonts w:hint="eastAsia" w:ascii="楷体_GB2312" w:hAnsi="楷体_GB2312" w:eastAsia="楷体_GB2312" w:cs="楷体_GB2312"/>
          <w:sz w:val="32"/>
          <w:szCs w:val="24"/>
        </w:rPr>
        <w:t>。</w:t>
      </w:r>
      <w:r>
        <w:rPr>
          <w:rFonts w:hint="eastAsia" w:ascii="Times New Roman" w:hAnsi="Times New Roman" w:eastAsia="仿宋_GB2312" w:cs="仿宋_GB2312"/>
          <w:sz w:val="32"/>
          <w:szCs w:val="24"/>
          <w:lang w:val="en-US" w:eastAsia="zh-CN"/>
        </w:rPr>
        <w:t>高质量举办第十四届苏州国际精英创业周，已完成签约项目1899个，同比增长5.15%，再创历史新高。举办“赢在苏州·创赢未来”国际创客大赛系列赛事。</w:t>
      </w:r>
      <w:r>
        <w:rPr>
          <w:rFonts w:hint="eastAsia" w:ascii="Times New Roman" w:hAnsi="Times New Roman" w:eastAsia="仿宋_GB2312" w:cs="仿宋_GB2312"/>
          <w:sz w:val="32"/>
          <w:szCs w:val="24"/>
        </w:rPr>
        <w:t>举办第四届长三角G60科创走廊人才峰会，进一步健全九城市人才协同服务机制和人力资源交流协作机制</w:t>
      </w:r>
      <w:r>
        <w:rPr>
          <w:rFonts w:hint="eastAsia" w:ascii="Times New Roman" w:hAnsi="Times New Roman" w:eastAsia="仿宋_GB2312" w:cs="仿宋_GB2312"/>
          <w:sz w:val="32"/>
          <w:szCs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成立全省首个数字经济高级专业技术资格职称委员会，率先开展数字经济高级职称评审工作。发布全国首个文化创意产业国际职业资格比照认定职称资格目录，累计将44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项比较权威的国际职业资格列入比照认定目录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，相关做法入选全国全面深化服务贸易创新发展试点“最佳实践案例”。打造博士后人才强磁场，64名博士后入选首批江苏省卓越博士后计划，占全省企业博士后类入选人数近三分之一。持续扩大“校园苏州日”品牌优势，创新开展校园引才和云上招聘等系列活动，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加速青年人才集聚。全省率先启动国（境）外职业技能比照认定工作。加大乡土人才、技能人才培养力度，试点开展乡土人才职称专项评审。放权激活企业自主评价，职业技能等级认定备案企业累计达1491家。开展江苏省特级技师试点评聘，亨通集团等12家企业试点评出特级技师15名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高技能人才禹云长入选俄罗斯工程院院士。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年内新增技能人才16.88万人，其中高技能人才新增8.86万人，高技能人才总量增量居全省首位。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共促劳动关系和谐稳定</w:t>
      </w:r>
      <w:r>
        <w:rPr>
          <w:rFonts w:hint="eastAsia" w:ascii="Times New Roman" w:hAnsi="Times New Roman" w:eastAsia="楷体_GB2312" w:cs="Times New Roman"/>
          <w:sz w:val="32"/>
          <w:szCs w:val="24"/>
        </w:rPr>
        <w:t>。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全力推进国家级、省级和谐劳动关系创建项目建设，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年内新增国家级劳动关系和谐企业4家（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数量居全省首位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）、省级劳动关系和谐企业22家、市级劳动关系和谐企业187家。全市各级已建成符合劳动关系和谐标准的企业1.14余万家，占单独已建工会且正常经营企业数的比例达76.5%。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强化欠薪问题隐患排查，深入推进工程建设领域农民工工资月结月清覆盖率提升专项行动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“制度全覆盖”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夏季专项行动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持续开展集中整治拖欠农民工工资问题专项行动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，推动欠薪问题源头预防和集中整治双向发力。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贯穿全年开展打击人力资源市场违法违规行为“利剑行动”，集中开展深化人力资源市场监管“九个一”专项行动，全力推动人力资源市场秩序源头改善、根本好转。在全市范围内纵深推进繁简分流改革，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加强裁审衔接，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持续推进劳动保障维权“一窗式”服务和仲裁案件全域受理。贯彻落实《苏州市农民工劳动争议案件绿色通道工作规则》，充分发挥农民工工资争议调解仲裁庭作用，进一步畅通农民工维权通道。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持续</w:t>
      </w:r>
      <w:r>
        <w:rPr>
          <w:rFonts w:hint="eastAsia" w:ascii="楷体_GB2312" w:hAnsi="楷体_GB2312" w:eastAsia="楷体_GB2312" w:cs="楷体_GB2312"/>
          <w:spacing w:val="0"/>
          <w:kern w:val="0"/>
          <w:sz w:val="32"/>
          <w:szCs w:val="32"/>
          <w:highlight w:val="none"/>
          <w:lang w:val="en-US" w:eastAsia="zh-CN"/>
        </w:rPr>
        <w:t>完善公共服务体系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依托全省人社一体化平台深入应用推动人社政务服务数字化转型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将全市3199个人社经办服务网点和社银平台网点汇入“人社政务服务地图”，发布人社全业务领域260项政务服务事项办事指南，117个事项实现即时办结，28个事项实现跨省通办，83个事项实现“两个免于提交”，实现“人才落户一件事”等跨部门联办，33个高频事项融入“苏周到”APP，加速实现“政策一键查询、服务掌上办理”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聚焦企业群众急难愁盼，创新开展“情系民生、服务发展”微实事主题实践活动，推出四批110项微实事项目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，努力实现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以小切口服务大民生。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不断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推进第三代社会保障卡发放及功能拓展工作，已开放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1277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个制卡网点，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累计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发放“三代卡”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783.43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万张。成功通过全国公共就业服务能力提升示范项目评审。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创新打造“家门口的人社服务站”“就业帮扶码上办”等公共就业服务品牌，着力推进人社公共服务体系建设。持续推进行风建设与业务工作深度融合，选拔优秀选手积极备战2022年窗口单位业务技能练兵比武活动，苏州代表队勇夺全省团体组、个人组“双第一”，创历史最好成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二、2023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年重点工作思路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（一）深入推进劳动者就业创业首选城市建设。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坚持稳岗减负扩就业并举，确保城镇新增就业20万人以上。探索开展重大政策、公共投资和重大项目拉动就业评估，深化市区两级稳就业稳用工服务机制，持续深化与合作地区劳务对接，强化高校毕业生等就业重点群体帮扶。加快劳动者服务中心、零工市场等特色载体建设，支持灵活就业、新就业形态发展。支持苏州人才发展有限公司等国有人力资源机构做优做强，贯彻落实《苏州市人力资源服务业高质量发展三年行动计划（2023—2025年）》，开展“3252”人力资源服务机构培育工程，力争通过3年时间，培育龙头企业20家、骨干企业50家、专精特新企业200家左右。面向产业、企业和劳动者需求，实施百万“姑苏工匠”职业技能提升工程，深化实施“项目制”培训，鼓励企业积极稳妥推进“互联网+技能培训”项目，围绕各地产业创新集群把握培训方向重心，进一步构建培训供需精准对接机制。与顺丰、抖音等企业合作开展技能培训，推进现代产业技能实训中心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 w:bidi="ar-SA"/>
        </w:rPr>
        <w:t>（二）持续完善多层次、多支柱社会保障体系。</w:t>
      </w:r>
      <w:r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  <w:t>扎实推进参保扩面提质，引导灵活就业人员、新业态从业人员等各类人群积极参保。稳步推进居民养老保险奖励性基础养老金制度，统筹好被征地农民、居民养老保险人员、参加企业养老保险人员等各类群体待遇水平，健全合理科学、梯次衔接的待遇增长机制。大力推动企业（职业）年金发展，支持有条件的企业联合探索实行高层次人才、技能人才企业年金集合计划。积极推进全省唯一的全国个人养老金试点。推进工伤保险与安全生产联动，大力开展工伤预防培训改善项目，提高工伤预防费使用效率。强化人防、技防、制度防等系统集成，织密扎牢基金安全运行防火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 w:bidi="ar-SA"/>
        </w:rPr>
        <w:t>（三）全面助力苏州人才发展现代化强市建设。</w:t>
      </w:r>
      <w:r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  <w:t>探索围绕产业创新集群建设急需，大数据绘制紧缺人才图谱，指导新兴产业企业按图索骥，精准引才。进一步梳理优化我市引才政策，探索推出“集成式”政策体系，统筹推进各类创新人才、专技人才、技能人才、乡土人才和留学人员队伍建设。丰富苏州国际精英创业周、国际创客大赛等各类引才活动内涵品质，全力打响“人到苏州必有为”品牌。建强用好部省共建留创园，创新实施“留创园赋能”和“留学归国人员集聚”两大工程，探索打造“留创贷”产品，助力打造“归国人才首选城市”。扩大国际职业资格比照认定范围，探索建立乡土人才分类评价体系，开展航空航天产业专技人员等职称评价体系研究，推动技术技能人才双向贯通发展。优化高技能人才培养载体平台建设</w:t>
      </w:r>
      <w:bookmarkStart w:id="0" w:name="_GoBack"/>
      <w:bookmarkEnd w:id="0"/>
      <w:r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  <w:t>，高标准举办第六届苏州技能英才周活动。围绕“乡村振兴”相关职业技能，主动强化与各职能部门的协同合作，开展“吴地工匠”职业技能系列竞赛活动。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 w:bidi="ar-SA"/>
        </w:rPr>
        <w:t>（四）全力确保劳动关系和谐稳定。</w:t>
      </w:r>
      <w:r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  <w:t>探索劳动关系全过程服务机制，深入推进和谐劳动关系建设。不断强化劳务派遣单位信用评价监管力度，探索建立C级单位退出机制，研究与税务部门联动共享劳务派遣单位税务发票异常数据。扎实推进“不欠薪”城市试点，着力构建完善“源头防控、过程监管、核查处置”相结合的全过程、链条式根治欠薪工作体系。强化人力资源机构分类管理，持续规范人力资源市场活动，注重引导激励和违法整治相结合，扩大低价、质优的人力资源服务供给，源头净化人力资源市场秩序。全面推进仲裁案件繁简分流改革和全域受理机制运行，强化裁审衔接模式机制探索创新，加快推进苏州智慧仲裁庭等建设，提升争议案件处理质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left"/>
        <w:textAlignment w:val="auto"/>
      </w:pP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 w:bidi="ar-SA"/>
        </w:rPr>
        <w:t>（五）打造便捷智能的人社公共服务。</w:t>
      </w:r>
      <w:r>
        <w:rPr>
          <w:rFonts w:hint="eastAsia" w:ascii="Times New Roman" w:hAnsi="Times New Roman" w:eastAsia="仿宋_GB2312" w:cstheme="minorBidi"/>
          <w:bCs/>
          <w:kern w:val="0"/>
          <w:sz w:val="32"/>
          <w:szCs w:val="32"/>
          <w:lang w:val="en-US" w:eastAsia="zh-CN" w:bidi="ar-SA"/>
        </w:rPr>
        <w:t>实施长三角地区唯一的全国公共就业服务能力提升示范项目，推动公共就业服务“上云用数赋智”实施就业平台智慧工程，探索运用就业大数据系统精准画像，实现“政策找企”“政策找人”。科学布局前沿公共就业服务阵地，织密基层人社公共服务网络，构建“15分钟就业服务圈”。推动人社公共服务企业、群众和各类人才“家门口”全面延伸，分类施策、各有侧重，提供精准就业服务，全面打造“家门口”的就业服务站。发挥省人社一体化信息平台大数据共享应用优势，全面制定推广人社服务“免申即享”“即申即享”“到期即享”三张清单，实现服务“一网通办”“提速快办”“无感智办”。</w:t>
      </w:r>
    </w:p>
    <w:sectPr>
      <w:footerReference r:id="rId3" w:type="default"/>
      <w:pgSz w:w="11906" w:h="16838"/>
      <w:pgMar w:top="2041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BC4BC"/>
    <w:multiLevelType w:val="singleLevel"/>
    <w:tmpl w:val="2E3BC4BC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YTM5MDUzNGU1OTgzOGQyNjNjZjViOGU0MjExM2YifQ=="/>
  </w:docVars>
  <w:rsids>
    <w:rsidRoot w:val="5DBD0B3E"/>
    <w:rsid w:val="014527E0"/>
    <w:rsid w:val="045F573E"/>
    <w:rsid w:val="056B1B3F"/>
    <w:rsid w:val="056B6662"/>
    <w:rsid w:val="0FE8038D"/>
    <w:rsid w:val="149F4D92"/>
    <w:rsid w:val="175E3EB2"/>
    <w:rsid w:val="19156D2D"/>
    <w:rsid w:val="19EE47F1"/>
    <w:rsid w:val="1D8F1DC9"/>
    <w:rsid w:val="1F4E188E"/>
    <w:rsid w:val="23FA1FE5"/>
    <w:rsid w:val="28014BFC"/>
    <w:rsid w:val="2B0267E9"/>
    <w:rsid w:val="32566F80"/>
    <w:rsid w:val="3C4855FB"/>
    <w:rsid w:val="3CC75CC4"/>
    <w:rsid w:val="3CCE2028"/>
    <w:rsid w:val="3D2D0EEC"/>
    <w:rsid w:val="43346307"/>
    <w:rsid w:val="435C6309"/>
    <w:rsid w:val="43936228"/>
    <w:rsid w:val="509C604E"/>
    <w:rsid w:val="51C45932"/>
    <w:rsid w:val="51E54B5E"/>
    <w:rsid w:val="56177908"/>
    <w:rsid w:val="58711B6E"/>
    <w:rsid w:val="5DBD0B3E"/>
    <w:rsid w:val="61CD6293"/>
    <w:rsid w:val="66D45B28"/>
    <w:rsid w:val="670A1B0C"/>
    <w:rsid w:val="67A55FD5"/>
    <w:rsid w:val="69F703B2"/>
    <w:rsid w:val="6B9A17A3"/>
    <w:rsid w:val="6BCA39D3"/>
    <w:rsid w:val="72040C3D"/>
    <w:rsid w:val="73AB7AB8"/>
    <w:rsid w:val="7B912D82"/>
    <w:rsid w:val="7BDC5528"/>
    <w:rsid w:val="7D7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  <w:sz w:val="32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spacing w:after="120"/>
      <w:jc w:val="left"/>
    </w:pPr>
    <w:rPr>
      <w:kern w:val="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2022-11-18T06:19:00Z</dcterms:created>
  <dc:creator>孙帅</dc:creator>
  <cp:lastModifiedBy>孙帅</cp:lastModifiedBy>
  <dcterms:modified xsi:type="dcterms:W3CDTF">2023-10-30T06:42:56Z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38256572C2E1471F88FB652AED9BB283_13</vt:lpwstr>
  </property>
</Properties>
</file>