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B845" w14:textId="77777777" w:rsidR="002D3501" w:rsidRDefault="002D3501" w:rsidP="002D3501">
      <w:pPr>
        <w:widowControl/>
        <w:adjustRightInd w:val="0"/>
        <w:snapToGrid w:val="0"/>
        <w:spacing w:line="480" w:lineRule="exact"/>
        <w:jc w:val="left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bookmarkStart w:id="0" w:name="OLE_LINK1"/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附件1：</w:t>
      </w:r>
    </w:p>
    <w:p w14:paraId="1451E6E4" w14:textId="77777777" w:rsidR="002D3501" w:rsidRDefault="002D3501" w:rsidP="002D3501">
      <w:pPr>
        <w:widowControl/>
        <w:adjustRightInd w:val="0"/>
        <w:snapToGrid w:val="0"/>
        <w:spacing w:line="480" w:lineRule="exact"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2022年度常熟市生猪养殖环节病死猪无害化处理拟补助数量明细表</w:t>
      </w:r>
    </w:p>
    <w:p w14:paraId="251378AB" w14:textId="62C6BAB3" w:rsidR="002D3501" w:rsidRDefault="002D3501" w:rsidP="002D3501">
      <w:pPr>
        <w:widowControl/>
        <w:adjustRightInd w:val="0"/>
        <w:snapToGrid w:val="0"/>
        <w:spacing w:line="480" w:lineRule="exact"/>
        <w:jc w:val="center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                                                                                单位：头、元</w:t>
      </w:r>
      <w:bookmarkEnd w:id="0"/>
    </w:p>
    <w:tbl>
      <w:tblPr>
        <w:tblW w:w="14977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806"/>
        <w:gridCol w:w="4161"/>
        <w:gridCol w:w="1307"/>
        <w:gridCol w:w="1307"/>
        <w:gridCol w:w="1307"/>
        <w:gridCol w:w="1309"/>
        <w:gridCol w:w="1232"/>
      </w:tblGrid>
      <w:tr w:rsidR="002D3501" w14:paraId="765324B9" w14:textId="77777777" w:rsidTr="00751123">
        <w:trPr>
          <w:trHeight w:val="726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08A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6C1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养殖场户名称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B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身份证号或统一信用代码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C00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748F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75D4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lang w:bidi="ar"/>
              </w:rPr>
              <w:t>备注</w:t>
            </w:r>
          </w:p>
        </w:tc>
      </w:tr>
      <w:tr w:rsidR="002D3501" w14:paraId="41C81735" w14:textId="77777777" w:rsidTr="00751123">
        <w:trPr>
          <w:trHeight w:val="726"/>
          <w:jc w:val="center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BDD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21C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300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663D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体长</w:t>
            </w:r>
            <w:r>
              <w:rPr>
                <w:rStyle w:val="font81"/>
                <w:rFonts w:ascii="仿宋_GB2312" w:eastAsia="仿宋_GB2312" w:hAnsi="仿宋_GB2312" w:cs="仿宋_GB2312" w:hint="eastAsia"/>
                <w:lang w:bidi="ar"/>
              </w:rPr>
              <w:t>≥</w:t>
            </w:r>
            <w:r>
              <w:rPr>
                <w:rStyle w:val="font31"/>
                <w:rFonts w:ascii="仿宋_GB2312" w:eastAsia="仿宋_GB2312" w:hAnsi="仿宋_GB2312" w:cs="仿宋_GB2312" w:hint="eastAsia"/>
                <w:lang w:bidi="ar"/>
              </w:rPr>
              <w:t>50cm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FDEB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补助</w:t>
            </w:r>
          </w:p>
          <w:p w14:paraId="1ED1C5FD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lang w:bidi="ar"/>
              </w:rPr>
              <w:t>标准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356D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lang w:bidi="ar"/>
              </w:rPr>
              <w:t>体长＜50cm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917C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lang w:bidi="ar"/>
              </w:rPr>
              <w:t>补助</w:t>
            </w:r>
          </w:p>
          <w:p w14:paraId="437CF154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lang w:bidi="ar"/>
              </w:rPr>
              <w:t>标准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EE98" w14:textId="77777777" w:rsidR="002D3501" w:rsidRDefault="002D3501" w:rsidP="00751123">
            <w:pPr>
              <w:widowControl/>
              <w:jc w:val="center"/>
              <w:textAlignment w:val="bottom"/>
              <w:rPr>
                <w:rStyle w:val="font31"/>
                <w:rFonts w:ascii="仿宋_GB2312" w:eastAsia="仿宋_GB2312" w:hAnsi="仿宋_GB2312" w:cs="仿宋_GB2312"/>
                <w:lang w:bidi="ar"/>
              </w:rPr>
            </w:pPr>
          </w:p>
        </w:tc>
      </w:tr>
      <w:tr w:rsidR="002D3501" w14:paraId="021F17F5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2BD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8E7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常熟市新龙畜牧场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074D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91320581764185957B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D9A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D7B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80元/头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F90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0C7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50元/头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B87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3FC76C9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C60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F07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常熟市尚牧生态农业有限公司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65AF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91320581MA21LX3U0F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D8B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E52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1E7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C89E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4C3C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72A56911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C07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0E4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常熟市神农畜牧场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FE4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9132058177804707X6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A14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B0F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49A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559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996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A01D985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A5E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E73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常熟市牧工商有限公司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D1D9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91320581142098090W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EA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ADA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F9F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92AE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E7E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0C6E0B22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912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EDE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常熟市虞山镇新良养殖场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4AC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92320581MA1PHB6R3X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6CF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195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021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A84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BFE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0DFE6C39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DC8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5A2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辰农业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EFAC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9132058158555231XA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815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0A3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B99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EA2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2C8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49DFEE39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821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E10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常熟市梅李镇正均养殖场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0730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92320581MA1TB91R7Q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8C0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30A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16C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007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489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66266C2C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D5F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A66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尚湖镇新裕村陆根大生猪养殖户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457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320520196602052014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C3F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BD8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80元/头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073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C063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50元/头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6AC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6223F59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B4F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5D0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常熟市常优畜牧有限责任公司尚湖分公司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1A3A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91320581MA22HT7D5W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1BEE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52D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436C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51F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22E4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3B17A157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0DD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39D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常熟市支塘镇佰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源畜牧场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B830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92320581MA1NNMJA8E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BD0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EE6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766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5CA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3E5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6D105BFE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6B9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13D1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常熟市马沙畜禽养殖场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1218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91320581790853445H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DC0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43B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E79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EA6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EA4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91995F6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1F2E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DD9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常熟金文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养殖有限公司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8DF9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91320581MA1Y61YU7C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520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0A0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7CB1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7D7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74D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61746D35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B716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41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常熟市牧工商有限公司张桥分公司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9BD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91320581MA216WM1X1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630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4BDE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58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511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FE8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06265107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7BFF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52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海虞镇东山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养猪场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CED8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92320581MA1T7YL93G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E0C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0D0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9E61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BFDD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45D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D8504D7" w14:textId="77777777" w:rsidTr="00751123">
        <w:trPr>
          <w:trHeight w:val="726"/>
          <w:jc w:val="center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400E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09A5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2940</w:t>
            </w: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A707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9833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C28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B0F1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D3501" w14:paraId="202B6D6B" w14:textId="77777777" w:rsidTr="00751123">
        <w:trPr>
          <w:trHeight w:val="72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662C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9D6C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常熟德康农牧有限公司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003F" w14:textId="77777777" w:rsidR="002D3501" w:rsidRDefault="002D3501" w:rsidP="0075112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91320581MA21AXU074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135A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52D0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DDC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2349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5B43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DAE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不予</w:t>
            </w:r>
          </w:p>
          <w:p w14:paraId="2171A749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补助</w:t>
            </w:r>
          </w:p>
        </w:tc>
      </w:tr>
      <w:tr w:rsidR="002D3501" w14:paraId="3C3A981B" w14:textId="77777777" w:rsidTr="00751123">
        <w:trPr>
          <w:trHeight w:val="726"/>
          <w:jc w:val="center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69CE" w14:textId="77777777" w:rsidR="002D3501" w:rsidRDefault="002D3501" w:rsidP="0075112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C5B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30E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F5B2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7718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ADDB" w14:textId="77777777" w:rsidR="002D3501" w:rsidRDefault="002D3501" w:rsidP="0075112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99641EF" w14:textId="77777777" w:rsidR="0017648B" w:rsidRDefault="0017648B">
      <w:pPr>
        <w:rPr>
          <w:rFonts w:hint="eastAsia"/>
        </w:rPr>
      </w:pPr>
    </w:p>
    <w:sectPr w:rsidR="0017648B" w:rsidSect="002D35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B60F" w14:textId="77777777" w:rsidR="000245D3" w:rsidRDefault="000245D3" w:rsidP="002D3501">
      <w:r>
        <w:separator/>
      </w:r>
    </w:p>
  </w:endnote>
  <w:endnote w:type="continuationSeparator" w:id="0">
    <w:p w14:paraId="18CAEADB" w14:textId="77777777" w:rsidR="000245D3" w:rsidRDefault="000245D3" w:rsidP="002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43B" w14:textId="77777777" w:rsidR="000245D3" w:rsidRDefault="000245D3" w:rsidP="002D3501">
      <w:r>
        <w:separator/>
      </w:r>
    </w:p>
  </w:footnote>
  <w:footnote w:type="continuationSeparator" w:id="0">
    <w:p w14:paraId="1F68FD05" w14:textId="77777777" w:rsidR="000245D3" w:rsidRDefault="000245D3" w:rsidP="002D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8"/>
    <w:rsid w:val="000245D3"/>
    <w:rsid w:val="0017648B"/>
    <w:rsid w:val="002D3501"/>
    <w:rsid w:val="006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C57F2"/>
  <w15:chartTrackingRefBased/>
  <w15:docId w15:val="{0F5956DE-28BF-457D-BE38-1D55210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501"/>
    <w:rPr>
      <w:sz w:val="18"/>
      <w:szCs w:val="18"/>
    </w:rPr>
  </w:style>
  <w:style w:type="character" w:customStyle="1" w:styleId="font21">
    <w:name w:val="font21"/>
    <w:basedOn w:val="a0"/>
    <w:qFormat/>
    <w:rsid w:val="002D35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2D3501"/>
    <w:rPr>
      <w:rFonts w:ascii="Arial" w:hAnsi="Arial" w:cs="Arial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D3501"/>
    <w:rPr>
      <w:rFonts w:ascii="黑体" w:eastAsia="黑体" w:hAnsi="宋体" w:cs="黑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2023-11-21T05:46:00Z</dcterms:created>
  <dcterms:modified xsi:type="dcterms:W3CDTF">2023-11-21T05:47:00Z</dcterms:modified>
</cp:coreProperties>
</file>