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firstLine="0"/>
        <w:jc w:val="center"/>
        <w:rPr>
          <w:rFonts w:hint="eastAsia" w:ascii="Times New Roman" w:eastAsia="方正小标宋简体"/>
          <w:sz w:val="44"/>
          <w:szCs w:val="44"/>
        </w:rPr>
      </w:pPr>
      <w:r>
        <w:rPr>
          <w:rFonts w:hint="eastAsia" w:ascii="Times New Roman" w:eastAsia="方正小标宋简体"/>
          <w:sz w:val="44"/>
          <w:szCs w:val="44"/>
        </w:rPr>
        <w:t>太仓市“十四五”科技创新规划</w:t>
      </w:r>
    </w:p>
    <w:p>
      <w:pPr>
        <w:ind w:firstLine="0"/>
        <w:jc w:val="center"/>
        <w:rPr>
          <w:rFonts w:hint="eastAsia" w:ascii="Times New Roman" w:eastAsia="黑体"/>
          <w:sz w:val="44"/>
          <w:szCs w:val="44"/>
        </w:rPr>
      </w:pPr>
      <w:bookmarkStart w:id="0" w:name="_Toc31095_WPSOffice_Type2"/>
    </w:p>
    <w:p>
      <w:pPr>
        <w:ind w:firstLine="0"/>
        <w:jc w:val="center"/>
        <w:rPr>
          <w:rFonts w:hint="eastAsia" w:ascii="Times New Roman" w:eastAsia="黑体"/>
          <w:sz w:val="40"/>
          <w:szCs w:val="44"/>
        </w:rPr>
      </w:pPr>
      <w:r>
        <w:rPr>
          <w:rFonts w:ascii="Times New Roman" w:eastAsia="黑体"/>
          <w:sz w:val="40"/>
          <w:szCs w:val="44"/>
        </w:rPr>
        <w:t>目  录</w:t>
      </w:r>
    </w:p>
    <w:p>
      <w:pPr>
        <w:ind w:firstLine="0"/>
        <w:jc w:val="center"/>
        <w:rPr>
          <w:rFonts w:hint="eastAsia" w:ascii="Times New Roman" w:eastAsia="黑体"/>
          <w:sz w:val="40"/>
          <w:szCs w:val="44"/>
        </w:rPr>
      </w:pPr>
    </w:p>
    <w:p>
      <w:pPr>
        <w:pStyle w:val="13"/>
        <w:tabs>
          <w:tab w:val="right" w:leader="dot" w:pos="8306"/>
        </w:tabs>
        <w:jc w:val="center"/>
        <w:rPr>
          <w:rFonts w:hint="eastAsia" w:eastAsia="黑体"/>
          <w:sz w:val="32"/>
          <w:szCs w:val="32"/>
        </w:rPr>
      </w:pPr>
      <w:r>
        <w:rPr>
          <w:rFonts w:hint="eastAsia" w:eastAsia="黑体"/>
          <w:sz w:val="32"/>
          <w:szCs w:val="32"/>
        </w:rPr>
        <w:fldChar w:fldCharType="begin"/>
      </w:r>
      <w:r>
        <w:rPr>
          <w:rFonts w:hint="eastAsia" w:eastAsia="黑体"/>
          <w:sz w:val="32"/>
          <w:szCs w:val="32"/>
        </w:rPr>
        <w:instrText xml:space="preserve"> HYPERLINK \l _Toc21639_WPSOffice_Level1 </w:instrText>
      </w:r>
      <w:r>
        <w:rPr>
          <w:rFonts w:hint="eastAsia" w:eastAsia="黑体"/>
          <w:sz w:val="32"/>
          <w:szCs w:val="32"/>
        </w:rPr>
        <w:fldChar w:fldCharType="separate"/>
      </w:r>
      <w:r>
        <w:rPr>
          <w:rFonts w:hint="eastAsia" w:eastAsia="黑体"/>
          <w:sz w:val="32"/>
          <w:szCs w:val="32"/>
        </w:rPr>
        <w:t>前  言</w:t>
      </w:r>
      <w:r>
        <w:rPr>
          <w:rFonts w:hint="eastAsia" w:eastAsia="黑体"/>
          <w:sz w:val="32"/>
          <w:szCs w:val="32"/>
        </w:rPr>
        <w:tab/>
      </w:r>
      <w:r>
        <w:rPr>
          <w:rFonts w:hint="eastAsia" w:eastAsia="黑体"/>
          <w:sz w:val="32"/>
          <w:szCs w:val="32"/>
        </w:rPr>
        <w:t>1</w:t>
      </w:r>
      <w:r>
        <w:rPr>
          <w:rFonts w:hint="eastAsia" w:eastAsia="黑体"/>
          <w:sz w:val="32"/>
          <w:szCs w:val="32"/>
        </w:rPr>
        <w:fldChar w:fldCharType="end"/>
      </w:r>
    </w:p>
    <w:p>
      <w:pPr>
        <w:pStyle w:val="6"/>
        <w:tabs>
          <w:tab w:val="right" w:leader="dot" w:pos="8296"/>
        </w:tabs>
        <w:jc w:val="center"/>
        <w:rPr>
          <w:rFonts w:hint="eastAsia" w:eastAsia="黑体"/>
          <w:sz w:val="32"/>
          <w:szCs w:val="32"/>
        </w:rPr>
      </w:pPr>
      <w:r>
        <w:rPr>
          <w:rFonts w:hint="eastAsia" w:eastAsia="楷体_GB2312"/>
          <w:sz w:val="32"/>
          <w:szCs w:val="32"/>
        </w:rPr>
        <w:fldChar w:fldCharType="begin"/>
      </w:r>
      <w:r>
        <w:rPr>
          <w:rFonts w:hint="eastAsia" w:eastAsia="楷体_GB2312"/>
          <w:sz w:val="32"/>
          <w:szCs w:val="32"/>
        </w:rPr>
        <w:instrText xml:space="preserve"> TOC \o "1-3" \h \z \u </w:instrText>
      </w:r>
      <w:r>
        <w:rPr>
          <w:rFonts w:hint="eastAsia" w:eastAsia="楷体_GB2312"/>
          <w:sz w:val="32"/>
          <w:szCs w:val="32"/>
        </w:rPr>
        <w:fldChar w:fldCharType="separate"/>
      </w:r>
      <w:r>
        <w:rPr>
          <w:rFonts w:hint="eastAsia" w:eastAsia="黑体"/>
          <w:sz w:val="32"/>
          <w:szCs w:val="32"/>
        </w:rPr>
        <w:fldChar w:fldCharType="begin"/>
      </w:r>
      <w:r>
        <w:rPr>
          <w:rStyle w:val="11"/>
          <w:rFonts w:hint="eastAsia" w:eastAsia="黑体"/>
          <w:sz w:val="32"/>
          <w:szCs w:val="32"/>
        </w:rPr>
        <w:instrText xml:space="preserve"> </w:instrText>
      </w:r>
      <w:r>
        <w:rPr>
          <w:rFonts w:hint="eastAsia" w:eastAsia="黑体"/>
          <w:sz w:val="32"/>
          <w:szCs w:val="32"/>
        </w:rPr>
        <w:instrText xml:space="preserve">HYPERLINK \l "_Toc89090186"</w:instrText>
      </w:r>
      <w:r>
        <w:rPr>
          <w:rStyle w:val="11"/>
          <w:rFonts w:hint="eastAsia" w:eastAsia="黑体"/>
          <w:sz w:val="32"/>
          <w:szCs w:val="32"/>
        </w:rPr>
        <w:instrText xml:space="preserve"> </w:instrText>
      </w:r>
      <w:r>
        <w:rPr>
          <w:rFonts w:hint="eastAsia" w:eastAsia="黑体"/>
          <w:sz w:val="32"/>
          <w:szCs w:val="32"/>
        </w:rPr>
        <w:fldChar w:fldCharType="separate"/>
      </w:r>
      <w:r>
        <w:rPr>
          <w:rStyle w:val="11"/>
          <w:rFonts w:hint="eastAsia" w:eastAsia="黑体"/>
          <w:sz w:val="32"/>
          <w:szCs w:val="32"/>
        </w:rPr>
        <w:t>第一章 “十三五”科技创新回顾</w:t>
      </w:r>
      <w:r>
        <w:rPr>
          <w:rFonts w:hint="eastAsia" w:eastAsia="黑体"/>
          <w:sz w:val="32"/>
          <w:szCs w:val="32"/>
        </w:rPr>
        <w:tab/>
      </w:r>
      <w:r>
        <w:rPr>
          <w:rFonts w:hint="eastAsia" w:eastAsia="黑体"/>
          <w:sz w:val="32"/>
          <w:szCs w:val="32"/>
        </w:rPr>
        <w:fldChar w:fldCharType="begin"/>
      </w:r>
      <w:r>
        <w:rPr>
          <w:rFonts w:hint="eastAsia" w:eastAsia="黑体"/>
          <w:sz w:val="32"/>
          <w:szCs w:val="32"/>
        </w:rPr>
        <w:instrText xml:space="preserve"> PAGEREF _Toc89090186 \h </w:instrText>
      </w:r>
      <w:r>
        <w:rPr>
          <w:rFonts w:hint="eastAsia" w:eastAsia="黑体"/>
          <w:sz w:val="32"/>
          <w:szCs w:val="32"/>
        </w:rPr>
        <w:fldChar w:fldCharType="separate"/>
      </w:r>
      <w:r>
        <w:rPr>
          <w:rFonts w:eastAsia="黑体"/>
          <w:sz w:val="32"/>
          <w:szCs w:val="32"/>
        </w:rPr>
        <w:t>2</w:t>
      </w:r>
      <w:r>
        <w:rPr>
          <w:rFonts w:hint="eastAsia" w:eastAsia="黑体"/>
          <w:sz w:val="32"/>
          <w:szCs w:val="32"/>
        </w:rPr>
        <w:fldChar w:fldCharType="end"/>
      </w:r>
      <w:r>
        <w:rPr>
          <w:rFonts w:hint="eastAsia" w:eastAsia="黑体"/>
          <w:sz w:val="32"/>
          <w:szCs w:val="32"/>
        </w:rPr>
        <w:fldChar w:fldCharType="end"/>
      </w:r>
    </w:p>
    <w:p>
      <w:pPr>
        <w:pStyle w:val="8"/>
        <w:tabs>
          <w:tab w:val="right" w:leader="dot" w:pos="8296"/>
        </w:tabs>
        <w:ind w:left="640"/>
        <w:jc w:val="center"/>
        <w:rPr>
          <w:rStyle w:val="11"/>
          <w:rFonts w:hint="eastAsia" w:eastAsia="楷体_GB2312"/>
          <w:sz w:val="32"/>
          <w:szCs w:val="32"/>
        </w:rPr>
      </w:pPr>
      <w:r>
        <w:rPr>
          <w:rFonts w:hint="eastAsia" w:eastAsia="楷体_GB2312"/>
          <w:sz w:val="32"/>
          <w:szCs w:val="32"/>
        </w:rPr>
        <w:fldChar w:fldCharType="begin"/>
      </w:r>
      <w:r>
        <w:rPr>
          <w:rStyle w:val="11"/>
          <w:rFonts w:hint="eastAsia" w:eastAsia="楷体_GB2312"/>
          <w:sz w:val="32"/>
          <w:szCs w:val="32"/>
        </w:rPr>
        <w:instrText xml:space="preserve"> HYPERLINK \l "_Toc89090187" </w:instrText>
      </w:r>
      <w:r>
        <w:rPr>
          <w:rFonts w:hint="eastAsia" w:eastAsia="楷体_GB2312"/>
          <w:sz w:val="32"/>
          <w:szCs w:val="32"/>
        </w:rPr>
        <w:fldChar w:fldCharType="separate"/>
      </w:r>
      <w:r>
        <w:rPr>
          <w:rStyle w:val="11"/>
          <w:rFonts w:hint="eastAsia" w:eastAsia="楷体_GB2312"/>
          <w:sz w:val="32"/>
          <w:szCs w:val="32"/>
        </w:rPr>
        <w:t>一、科创能级显著提升</w:t>
      </w:r>
      <w:r>
        <w:rPr>
          <w:rStyle w:val="11"/>
          <w:rFonts w:hint="eastAsia" w:eastAsia="楷体_GB2312"/>
          <w:sz w:val="32"/>
          <w:szCs w:val="32"/>
        </w:rPr>
        <w:tab/>
      </w:r>
      <w:r>
        <w:rPr>
          <w:rFonts w:hint="eastAsia" w:eastAsia="楷体_GB2312"/>
          <w:sz w:val="32"/>
          <w:szCs w:val="32"/>
        </w:rPr>
        <w:fldChar w:fldCharType="begin"/>
      </w:r>
      <w:r>
        <w:rPr>
          <w:rStyle w:val="11"/>
          <w:rFonts w:hint="eastAsia" w:eastAsia="楷体_GB2312"/>
          <w:sz w:val="32"/>
          <w:szCs w:val="32"/>
        </w:rPr>
        <w:instrText xml:space="preserve"> PAGEREF _Toc89090187 \h </w:instrText>
      </w:r>
      <w:r>
        <w:rPr>
          <w:rFonts w:hint="eastAsia" w:eastAsia="楷体_GB2312"/>
          <w:sz w:val="32"/>
          <w:szCs w:val="32"/>
        </w:rPr>
        <w:fldChar w:fldCharType="separate"/>
      </w:r>
      <w:r>
        <w:rPr>
          <w:rStyle w:val="11"/>
          <w:rFonts w:eastAsia="楷体_GB2312"/>
          <w:sz w:val="32"/>
          <w:szCs w:val="32"/>
        </w:rPr>
        <w:t>2</w:t>
      </w:r>
      <w:r>
        <w:rPr>
          <w:rFonts w:hint="eastAsia" w:eastAsia="楷体_GB2312"/>
          <w:sz w:val="32"/>
          <w:szCs w:val="32"/>
        </w:rPr>
        <w:fldChar w:fldCharType="end"/>
      </w:r>
      <w:r>
        <w:rPr>
          <w:rFonts w:hint="eastAsia" w:eastAsia="楷体_GB2312"/>
          <w:sz w:val="32"/>
          <w:szCs w:val="32"/>
        </w:rPr>
        <w:fldChar w:fldCharType="end"/>
      </w:r>
    </w:p>
    <w:p>
      <w:pPr>
        <w:pStyle w:val="8"/>
        <w:tabs>
          <w:tab w:val="right" w:leader="dot" w:pos="8296"/>
        </w:tabs>
        <w:ind w:left="640"/>
        <w:jc w:val="center"/>
        <w:rPr>
          <w:rStyle w:val="11"/>
          <w:rFonts w:hint="eastAsia" w:eastAsia="楷体_GB2312"/>
          <w:sz w:val="32"/>
          <w:szCs w:val="32"/>
        </w:rPr>
      </w:pPr>
      <w:r>
        <w:rPr>
          <w:rFonts w:hint="eastAsia" w:eastAsia="楷体_GB2312"/>
          <w:sz w:val="32"/>
          <w:szCs w:val="32"/>
        </w:rPr>
        <w:fldChar w:fldCharType="begin"/>
      </w:r>
      <w:r>
        <w:rPr>
          <w:rStyle w:val="11"/>
          <w:rFonts w:hint="eastAsia" w:eastAsia="楷体_GB2312"/>
          <w:sz w:val="32"/>
          <w:szCs w:val="32"/>
        </w:rPr>
        <w:instrText xml:space="preserve"> HYPERLINK \l "_Toc89090188" </w:instrText>
      </w:r>
      <w:r>
        <w:rPr>
          <w:rFonts w:hint="eastAsia" w:eastAsia="楷体_GB2312"/>
          <w:sz w:val="32"/>
          <w:szCs w:val="32"/>
        </w:rPr>
        <w:fldChar w:fldCharType="separate"/>
      </w:r>
      <w:r>
        <w:rPr>
          <w:rStyle w:val="11"/>
          <w:rFonts w:hint="eastAsia" w:eastAsia="楷体_GB2312"/>
          <w:sz w:val="32"/>
          <w:szCs w:val="32"/>
        </w:rPr>
        <w:t>二、科技合作全面推进</w:t>
      </w:r>
      <w:r>
        <w:rPr>
          <w:rStyle w:val="11"/>
          <w:rFonts w:hint="eastAsia" w:eastAsia="楷体_GB2312"/>
          <w:sz w:val="32"/>
          <w:szCs w:val="32"/>
        </w:rPr>
        <w:tab/>
      </w:r>
      <w:r>
        <w:rPr>
          <w:rFonts w:hint="eastAsia" w:eastAsia="楷体_GB2312"/>
          <w:sz w:val="32"/>
          <w:szCs w:val="32"/>
        </w:rPr>
        <w:fldChar w:fldCharType="begin"/>
      </w:r>
      <w:r>
        <w:rPr>
          <w:rStyle w:val="11"/>
          <w:rFonts w:hint="eastAsia" w:eastAsia="楷体_GB2312"/>
          <w:sz w:val="32"/>
          <w:szCs w:val="32"/>
        </w:rPr>
        <w:instrText xml:space="preserve"> PAGEREF _Toc89090188 \h </w:instrText>
      </w:r>
      <w:r>
        <w:rPr>
          <w:rFonts w:hint="eastAsia" w:eastAsia="楷体_GB2312"/>
          <w:sz w:val="32"/>
          <w:szCs w:val="32"/>
        </w:rPr>
        <w:fldChar w:fldCharType="separate"/>
      </w:r>
      <w:r>
        <w:rPr>
          <w:rStyle w:val="11"/>
          <w:rFonts w:eastAsia="楷体_GB2312"/>
          <w:sz w:val="32"/>
          <w:szCs w:val="32"/>
        </w:rPr>
        <w:t>3</w:t>
      </w:r>
      <w:r>
        <w:rPr>
          <w:rFonts w:hint="eastAsia" w:eastAsia="楷体_GB2312"/>
          <w:sz w:val="32"/>
          <w:szCs w:val="32"/>
        </w:rPr>
        <w:fldChar w:fldCharType="end"/>
      </w:r>
      <w:r>
        <w:rPr>
          <w:rFonts w:hint="eastAsia" w:eastAsia="楷体_GB2312"/>
          <w:sz w:val="32"/>
          <w:szCs w:val="32"/>
        </w:rPr>
        <w:fldChar w:fldCharType="end"/>
      </w:r>
    </w:p>
    <w:p>
      <w:pPr>
        <w:pStyle w:val="8"/>
        <w:tabs>
          <w:tab w:val="right" w:leader="dot" w:pos="8296"/>
        </w:tabs>
        <w:ind w:left="640"/>
        <w:jc w:val="center"/>
        <w:rPr>
          <w:rStyle w:val="11"/>
          <w:rFonts w:hint="eastAsia" w:eastAsia="楷体_GB2312"/>
          <w:sz w:val="32"/>
          <w:szCs w:val="32"/>
        </w:rPr>
      </w:pPr>
      <w:r>
        <w:rPr>
          <w:rFonts w:hint="eastAsia" w:eastAsia="楷体_GB2312"/>
          <w:sz w:val="32"/>
          <w:szCs w:val="32"/>
        </w:rPr>
        <w:fldChar w:fldCharType="begin"/>
      </w:r>
      <w:r>
        <w:rPr>
          <w:rStyle w:val="11"/>
          <w:rFonts w:hint="eastAsia" w:eastAsia="楷体_GB2312"/>
          <w:sz w:val="32"/>
          <w:szCs w:val="32"/>
        </w:rPr>
        <w:instrText xml:space="preserve"> HYPERLINK \l "_Toc89090189" </w:instrText>
      </w:r>
      <w:r>
        <w:rPr>
          <w:rFonts w:hint="eastAsia" w:eastAsia="楷体_GB2312"/>
          <w:sz w:val="32"/>
          <w:szCs w:val="32"/>
        </w:rPr>
        <w:fldChar w:fldCharType="separate"/>
      </w:r>
      <w:r>
        <w:rPr>
          <w:rStyle w:val="11"/>
          <w:rFonts w:hint="eastAsia" w:eastAsia="楷体_GB2312"/>
          <w:sz w:val="32"/>
          <w:szCs w:val="32"/>
        </w:rPr>
        <w:t>三、创新创业生态聚成</w:t>
      </w:r>
      <w:r>
        <w:rPr>
          <w:rStyle w:val="11"/>
          <w:rFonts w:hint="eastAsia" w:eastAsia="楷体_GB2312"/>
          <w:sz w:val="32"/>
          <w:szCs w:val="32"/>
        </w:rPr>
        <w:tab/>
      </w:r>
      <w:r>
        <w:rPr>
          <w:rFonts w:hint="eastAsia" w:eastAsia="楷体_GB2312"/>
          <w:sz w:val="32"/>
          <w:szCs w:val="32"/>
        </w:rPr>
        <w:fldChar w:fldCharType="begin"/>
      </w:r>
      <w:r>
        <w:rPr>
          <w:rStyle w:val="11"/>
          <w:rFonts w:hint="eastAsia" w:eastAsia="楷体_GB2312"/>
          <w:sz w:val="32"/>
          <w:szCs w:val="32"/>
        </w:rPr>
        <w:instrText xml:space="preserve"> PAGEREF _Toc89090189 \h </w:instrText>
      </w:r>
      <w:r>
        <w:rPr>
          <w:rFonts w:hint="eastAsia" w:eastAsia="楷体_GB2312"/>
          <w:sz w:val="32"/>
          <w:szCs w:val="32"/>
        </w:rPr>
        <w:fldChar w:fldCharType="separate"/>
      </w:r>
      <w:r>
        <w:rPr>
          <w:rStyle w:val="11"/>
          <w:rFonts w:eastAsia="楷体_GB2312"/>
          <w:sz w:val="32"/>
          <w:szCs w:val="32"/>
        </w:rPr>
        <w:t>4</w:t>
      </w:r>
      <w:r>
        <w:rPr>
          <w:rFonts w:hint="eastAsia" w:eastAsia="楷体_GB2312"/>
          <w:sz w:val="32"/>
          <w:szCs w:val="32"/>
        </w:rPr>
        <w:fldChar w:fldCharType="end"/>
      </w:r>
      <w:r>
        <w:rPr>
          <w:rFonts w:hint="eastAsia" w:eastAsia="楷体_GB2312"/>
          <w:sz w:val="32"/>
          <w:szCs w:val="32"/>
        </w:rPr>
        <w:fldChar w:fldCharType="end"/>
      </w:r>
    </w:p>
    <w:p>
      <w:pPr>
        <w:pStyle w:val="6"/>
        <w:tabs>
          <w:tab w:val="right" w:leader="dot" w:pos="8296"/>
        </w:tabs>
        <w:jc w:val="center"/>
        <w:rPr>
          <w:rFonts w:hint="eastAsia" w:eastAsia="黑体"/>
          <w:sz w:val="32"/>
          <w:szCs w:val="32"/>
        </w:rPr>
      </w:pPr>
      <w:r>
        <w:rPr>
          <w:rFonts w:hint="eastAsia" w:eastAsia="黑体"/>
          <w:sz w:val="32"/>
          <w:szCs w:val="32"/>
        </w:rPr>
        <w:fldChar w:fldCharType="begin"/>
      </w:r>
      <w:r>
        <w:rPr>
          <w:rStyle w:val="11"/>
          <w:rFonts w:hint="eastAsia" w:eastAsia="黑体"/>
          <w:sz w:val="32"/>
          <w:szCs w:val="32"/>
        </w:rPr>
        <w:instrText xml:space="preserve"> </w:instrText>
      </w:r>
      <w:r>
        <w:rPr>
          <w:rFonts w:hint="eastAsia" w:eastAsia="黑体"/>
          <w:sz w:val="32"/>
          <w:szCs w:val="32"/>
        </w:rPr>
        <w:instrText xml:space="preserve">HYPERLINK \l "_Toc89090190"</w:instrText>
      </w:r>
      <w:r>
        <w:rPr>
          <w:rStyle w:val="11"/>
          <w:rFonts w:hint="eastAsia" w:eastAsia="黑体"/>
          <w:sz w:val="32"/>
          <w:szCs w:val="32"/>
        </w:rPr>
        <w:instrText xml:space="preserve"> </w:instrText>
      </w:r>
      <w:r>
        <w:rPr>
          <w:rFonts w:hint="eastAsia" w:eastAsia="黑体"/>
          <w:sz w:val="32"/>
          <w:szCs w:val="32"/>
        </w:rPr>
        <w:fldChar w:fldCharType="separate"/>
      </w:r>
      <w:r>
        <w:rPr>
          <w:rStyle w:val="11"/>
          <w:rFonts w:hint="eastAsia" w:eastAsia="黑体"/>
          <w:sz w:val="32"/>
          <w:szCs w:val="32"/>
        </w:rPr>
        <w:t>第二章</w:t>
      </w:r>
      <w:r>
        <w:rPr>
          <w:rStyle w:val="11"/>
          <w:rFonts w:hint="eastAsia" w:eastAsia="黑体"/>
          <w:b/>
          <w:sz w:val="32"/>
          <w:szCs w:val="32"/>
        </w:rPr>
        <w:t xml:space="preserve"> </w:t>
      </w:r>
      <w:r>
        <w:rPr>
          <w:rStyle w:val="11"/>
          <w:rFonts w:hint="eastAsia" w:eastAsia="黑体"/>
          <w:sz w:val="32"/>
          <w:szCs w:val="32"/>
        </w:rPr>
        <w:t>立足新发展阶段，担当科技创新新使命</w:t>
      </w:r>
      <w:r>
        <w:rPr>
          <w:rFonts w:hint="eastAsia" w:eastAsia="黑体"/>
          <w:sz w:val="32"/>
          <w:szCs w:val="32"/>
        </w:rPr>
        <w:tab/>
      </w:r>
      <w:r>
        <w:rPr>
          <w:rFonts w:hint="eastAsia" w:eastAsia="黑体"/>
          <w:sz w:val="32"/>
          <w:szCs w:val="32"/>
        </w:rPr>
        <w:fldChar w:fldCharType="begin"/>
      </w:r>
      <w:r>
        <w:rPr>
          <w:rFonts w:hint="eastAsia" w:eastAsia="黑体"/>
          <w:sz w:val="32"/>
          <w:szCs w:val="32"/>
        </w:rPr>
        <w:instrText xml:space="preserve"> PAGEREF _Toc89090190 \h </w:instrText>
      </w:r>
      <w:r>
        <w:rPr>
          <w:rFonts w:hint="eastAsia" w:eastAsia="黑体"/>
          <w:sz w:val="32"/>
          <w:szCs w:val="32"/>
        </w:rPr>
        <w:fldChar w:fldCharType="separate"/>
      </w:r>
      <w:r>
        <w:rPr>
          <w:rFonts w:eastAsia="黑体"/>
          <w:sz w:val="32"/>
          <w:szCs w:val="32"/>
        </w:rPr>
        <w:t>7</w:t>
      </w:r>
      <w:r>
        <w:rPr>
          <w:rFonts w:hint="eastAsia" w:eastAsia="黑体"/>
          <w:sz w:val="32"/>
          <w:szCs w:val="32"/>
        </w:rPr>
        <w:fldChar w:fldCharType="end"/>
      </w:r>
      <w:r>
        <w:rPr>
          <w:rFonts w:hint="eastAsia" w:eastAsia="黑体"/>
          <w:sz w:val="32"/>
          <w:szCs w:val="32"/>
        </w:rPr>
        <w:fldChar w:fldCharType="end"/>
      </w:r>
    </w:p>
    <w:p>
      <w:pPr>
        <w:pStyle w:val="8"/>
        <w:tabs>
          <w:tab w:val="right" w:leader="dot" w:pos="8296"/>
        </w:tabs>
        <w:ind w:left="640"/>
        <w:jc w:val="center"/>
        <w:rPr>
          <w:rStyle w:val="11"/>
          <w:rFonts w:hint="eastAsia" w:eastAsia="楷体_GB2312"/>
          <w:sz w:val="32"/>
          <w:szCs w:val="32"/>
        </w:rPr>
      </w:pPr>
      <w:r>
        <w:rPr>
          <w:rFonts w:hint="eastAsia" w:eastAsia="楷体_GB2312"/>
          <w:sz w:val="32"/>
          <w:szCs w:val="32"/>
        </w:rPr>
        <w:fldChar w:fldCharType="begin"/>
      </w:r>
      <w:r>
        <w:rPr>
          <w:rStyle w:val="11"/>
          <w:rFonts w:hint="eastAsia" w:eastAsia="楷体_GB2312"/>
          <w:sz w:val="32"/>
          <w:szCs w:val="32"/>
        </w:rPr>
        <w:instrText xml:space="preserve"> HYPERLINK \l "_Toc89090191" </w:instrText>
      </w:r>
      <w:r>
        <w:rPr>
          <w:rFonts w:hint="eastAsia" w:eastAsia="楷体_GB2312"/>
          <w:sz w:val="32"/>
          <w:szCs w:val="32"/>
        </w:rPr>
        <w:fldChar w:fldCharType="separate"/>
      </w:r>
      <w:r>
        <w:rPr>
          <w:rStyle w:val="11"/>
          <w:rFonts w:hint="eastAsia" w:eastAsia="楷体_GB2312"/>
          <w:sz w:val="32"/>
          <w:szCs w:val="32"/>
        </w:rPr>
        <w:t>一、准确把握国家战略叠加机遇</w:t>
      </w:r>
      <w:r>
        <w:rPr>
          <w:rStyle w:val="11"/>
          <w:rFonts w:hint="eastAsia" w:eastAsia="楷体_GB2312"/>
          <w:sz w:val="32"/>
          <w:szCs w:val="32"/>
        </w:rPr>
        <w:tab/>
      </w:r>
      <w:r>
        <w:rPr>
          <w:rFonts w:hint="eastAsia" w:eastAsia="楷体_GB2312"/>
          <w:sz w:val="32"/>
          <w:szCs w:val="32"/>
        </w:rPr>
        <w:fldChar w:fldCharType="begin"/>
      </w:r>
      <w:r>
        <w:rPr>
          <w:rStyle w:val="11"/>
          <w:rFonts w:hint="eastAsia" w:eastAsia="楷体_GB2312"/>
          <w:sz w:val="32"/>
          <w:szCs w:val="32"/>
        </w:rPr>
        <w:instrText xml:space="preserve"> PAGEREF _Toc89090191 \h </w:instrText>
      </w:r>
      <w:r>
        <w:rPr>
          <w:rFonts w:hint="eastAsia" w:eastAsia="楷体_GB2312"/>
          <w:sz w:val="32"/>
          <w:szCs w:val="32"/>
        </w:rPr>
        <w:fldChar w:fldCharType="separate"/>
      </w:r>
      <w:r>
        <w:rPr>
          <w:rStyle w:val="11"/>
          <w:rFonts w:eastAsia="楷体_GB2312"/>
          <w:sz w:val="32"/>
          <w:szCs w:val="32"/>
        </w:rPr>
        <w:t>7</w:t>
      </w:r>
      <w:r>
        <w:rPr>
          <w:rFonts w:hint="eastAsia" w:eastAsia="楷体_GB2312"/>
          <w:sz w:val="32"/>
          <w:szCs w:val="32"/>
        </w:rPr>
        <w:fldChar w:fldCharType="end"/>
      </w:r>
      <w:r>
        <w:rPr>
          <w:rFonts w:hint="eastAsia" w:eastAsia="楷体_GB2312"/>
          <w:sz w:val="32"/>
          <w:szCs w:val="32"/>
        </w:rPr>
        <w:fldChar w:fldCharType="end"/>
      </w:r>
    </w:p>
    <w:p>
      <w:pPr>
        <w:pStyle w:val="8"/>
        <w:tabs>
          <w:tab w:val="right" w:leader="dot" w:pos="8296"/>
        </w:tabs>
        <w:ind w:left="640"/>
        <w:jc w:val="center"/>
        <w:rPr>
          <w:rStyle w:val="11"/>
          <w:rFonts w:hint="eastAsia" w:eastAsia="楷体_GB2312"/>
          <w:sz w:val="32"/>
          <w:szCs w:val="32"/>
        </w:rPr>
      </w:pPr>
      <w:r>
        <w:rPr>
          <w:rFonts w:hint="eastAsia" w:eastAsia="楷体_GB2312"/>
          <w:sz w:val="32"/>
          <w:szCs w:val="32"/>
        </w:rPr>
        <w:fldChar w:fldCharType="begin"/>
      </w:r>
      <w:r>
        <w:rPr>
          <w:rStyle w:val="11"/>
          <w:rFonts w:hint="eastAsia" w:eastAsia="楷体_GB2312"/>
          <w:sz w:val="32"/>
          <w:szCs w:val="32"/>
        </w:rPr>
        <w:instrText xml:space="preserve"> HYPERLINK \l "_Toc89090192" </w:instrText>
      </w:r>
      <w:r>
        <w:rPr>
          <w:rFonts w:hint="eastAsia" w:eastAsia="楷体_GB2312"/>
          <w:sz w:val="32"/>
          <w:szCs w:val="32"/>
        </w:rPr>
        <w:fldChar w:fldCharType="separate"/>
      </w:r>
      <w:r>
        <w:rPr>
          <w:rStyle w:val="11"/>
          <w:rFonts w:hint="eastAsia" w:eastAsia="楷体_GB2312"/>
          <w:sz w:val="32"/>
          <w:szCs w:val="32"/>
        </w:rPr>
        <w:t>二、准确分析研判面临问题短板</w:t>
      </w:r>
      <w:r>
        <w:rPr>
          <w:rStyle w:val="11"/>
          <w:rFonts w:hint="eastAsia" w:eastAsia="楷体_GB2312"/>
          <w:sz w:val="32"/>
          <w:szCs w:val="32"/>
        </w:rPr>
        <w:tab/>
      </w:r>
      <w:r>
        <w:rPr>
          <w:rFonts w:hint="eastAsia" w:eastAsia="楷体_GB2312"/>
          <w:sz w:val="32"/>
          <w:szCs w:val="32"/>
        </w:rPr>
        <w:fldChar w:fldCharType="begin"/>
      </w:r>
      <w:r>
        <w:rPr>
          <w:rStyle w:val="11"/>
          <w:rFonts w:hint="eastAsia" w:eastAsia="楷体_GB2312"/>
          <w:sz w:val="32"/>
          <w:szCs w:val="32"/>
        </w:rPr>
        <w:instrText xml:space="preserve"> PAGEREF _Toc89090192 \h </w:instrText>
      </w:r>
      <w:r>
        <w:rPr>
          <w:rFonts w:hint="eastAsia" w:eastAsia="楷体_GB2312"/>
          <w:sz w:val="32"/>
          <w:szCs w:val="32"/>
        </w:rPr>
        <w:fldChar w:fldCharType="separate"/>
      </w:r>
      <w:r>
        <w:rPr>
          <w:rStyle w:val="11"/>
          <w:rFonts w:eastAsia="楷体_GB2312"/>
          <w:sz w:val="32"/>
          <w:szCs w:val="32"/>
        </w:rPr>
        <w:t>8</w:t>
      </w:r>
      <w:r>
        <w:rPr>
          <w:rFonts w:hint="eastAsia" w:eastAsia="楷体_GB2312"/>
          <w:sz w:val="32"/>
          <w:szCs w:val="32"/>
        </w:rPr>
        <w:fldChar w:fldCharType="end"/>
      </w:r>
      <w:r>
        <w:rPr>
          <w:rFonts w:hint="eastAsia" w:eastAsia="楷体_GB2312"/>
          <w:sz w:val="32"/>
          <w:szCs w:val="32"/>
        </w:rPr>
        <w:fldChar w:fldCharType="end"/>
      </w:r>
    </w:p>
    <w:p>
      <w:pPr>
        <w:pStyle w:val="6"/>
        <w:tabs>
          <w:tab w:val="right" w:leader="dot" w:pos="8296"/>
        </w:tabs>
        <w:jc w:val="center"/>
        <w:rPr>
          <w:rFonts w:hint="eastAsia" w:eastAsia="黑体"/>
          <w:sz w:val="32"/>
          <w:szCs w:val="32"/>
        </w:rPr>
      </w:pPr>
      <w:r>
        <w:rPr>
          <w:rFonts w:hint="eastAsia" w:eastAsia="黑体"/>
          <w:sz w:val="32"/>
          <w:szCs w:val="32"/>
        </w:rPr>
        <w:fldChar w:fldCharType="begin"/>
      </w:r>
      <w:r>
        <w:rPr>
          <w:rStyle w:val="11"/>
          <w:rFonts w:hint="eastAsia" w:eastAsia="黑体"/>
          <w:sz w:val="32"/>
          <w:szCs w:val="32"/>
        </w:rPr>
        <w:instrText xml:space="preserve"> </w:instrText>
      </w:r>
      <w:r>
        <w:rPr>
          <w:rFonts w:hint="eastAsia" w:eastAsia="黑体"/>
          <w:sz w:val="32"/>
          <w:szCs w:val="32"/>
        </w:rPr>
        <w:instrText xml:space="preserve">HYPERLINK \l "_Toc89090193"</w:instrText>
      </w:r>
      <w:r>
        <w:rPr>
          <w:rStyle w:val="11"/>
          <w:rFonts w:hint="eastAsia" w:eastAsia="黑体"/>
          <w:sz w:val="32"/>
          <w:szCs w:val="32"/>
        </w:rPr>
        <w:instrText xml:space="preserve"> </w:instrText>
      </w:r>
      <w:r>
        <w:rPr>
          <w:rFonts w:hint="eastAsia" w:eastAsia="黑体"/>
          <w:sz w:val="32"/>
          <w:szCs w:val="32"/>
        </w:rPr>
        <w:fldChar w:fldCharType="separate"/>
      </w:r>
      <w:r>
        <w:rPr>
          <w:rStyle w:val="11"/>
          <w:rFonts w:hint="eastAsia" w:eastAsia="黑体"/>
          <w:sz w:val="32"/>
          <w:szCs w:val="32"/>
        </w:rPr>
        <w:t>第三章 贯彻新发展理念，开启科技创新新征程</w:t>
      </w:r>
      <w:r>
        <w:rPr>
          <w:rFonts w:hint="eastAsia" w:eastAsia="黑体"/>
          <w:sz w:val="32"/>
          <w:szCs w:val="32"/>
        </w:rPr>
        <w:tab/>
      </w:r>
      <w:r>
        <w:rPr>
          <w:rFonts w:hint="eastAsia" w:eastAsia="黑体"/>
          <w:sz w:val="32"/>
          <w:szCs w:val="32"/>
        </w:rPr>
        <w:fldChar w:fldCharType="begin"/>
      </w:r>
      <w:r>
        <w:rPr>
          <w:rFonts w:hint="eastAsia" w:eastAsia="黑体"/>
          <w:sz w:val="32"/>
          <w:szCs w:val="32"/>
        </w:rPr>
        <w:instrText xml:space="preserve"> PAGEREF _Toc89090193 \h </w:instrText>
      </w:r>
      <w:r>
        <w:rPr>
          <w:rFonts w:hint="eastAsia" w:eastAsia="黑体"/>
          <w:sz w:val="32"/>
          <w:szCs w:val="32"/>
        </w:rPr>
        <w:fldChar w:fldCharType="separate"/>
      </w:r>
      <w:r>
        <w:rPr>
          <w:rFonts w:eastAsia="黑体"/>
          <w:sz w:val="32"/>
          <w:szCs w:val="32"/>
        </w:rPr>
        <w:t>10</w:t>
      </w:r>
      <w:r>
        <w:rPr>
          <w:rFonts w:hint="eastAsia" w:eastAsia="黑体"/>
          <w:sz w:val="32"/>
          <w:szCs w:val="32"/>
        </w:rPr>
        <w:fldChar w:fldCharType="end"/>
      </w:r>
      <w:r>
        <w:rPr>
          <w:rFonts w:hint="eastAsia" w:eastAsia="黑体"/>
          <w:sz w:val="32"/>
          <w:szCs w:val="32"/>
        </w:rPr>
        <w:fldChar w:fldCharType="end"/>
      </w:r>
    </w:p>
    <w:p>
      <w:pPr>
        <w:pStyle w:val="8"/>
        <w:tabs>
          <w:tab w:val="right" w:leader="dot" w:pos="8296"/>
        </w:tabs>
        <w:ind w:left="640"/>
        <w:jc w:val="center"/>
        <w:rPr>
          <w:rFonts w:hint="eastAsia" w:eastAsia="楷体_GB2312"/>
          <w:sz w:val="32"/>
          <w:szCs w:val="32"/>
        </w:rPr>
      </w:pPr>
      <w:r>
        <w:rPr>
          <w:rFonts w:hint="eastAsia" w:eastAsia="楷体_GB2312"/>
          <w:sz w:val="32"/>
          <w:szCs w:val="32"/>
        </w:rPr>
        <w:fldChar w:fldCharType="begin"/>
      </w:r>
      <w:r>
        <w:rPr>
          <w:rStyle w:val="11"/>
          <w:rFonts w:hint="eastAsia" w:eastAsia="楷体_GB2312"/>
          <w:sz w:val="32"/>
          <w:szCs w:val="32"/>
        </w:rPr>
        <w:instrText xml:space="preserve"> </w:instrText>
      </w:r>
      <w:r>
        <w:rPr>
          <w:rFonts w:hint="eastAsia" w:eastAsia="楷体_GB2312"/>
          <w:sz w:val="32"/>
          <w:szCs w:val="32"/>
        </w:rPr>
        <w:instrText xml:space="preserve">HYPERLINK \l "_Toc89090194"</w:instrText>
      </w:r>
      <w:r>
        <w:rPr>
          <w:rStyle w:val="11"/>
          <w:rFonts w:hint="eastAsia" w:eastAsia="楷体_GB2312"/>
          <w:sz w:val="32"/>
          <w:szCs w:val="32"/>
        </w:rPr>
        <w:instrText xml:space="preserve"> </w:instrText>
      </w:r>
      <w:r>
        <w:rPr>
          <w:rFonts w:hint="eastAsia" w:eastAsia="楷体_GB2312"/>
          <w:sz w:val="32"/>
          <w:szCs w:val="32"/>
        </w:rPr>
        <w:fldChar w:fldCharType="separate"/>
      </w:r>
      <w:r>
        <w:rPr>
          <w:rStyle w:val="11"/>
          <w:rFonts w:hint="eastAsia" w:eastAsia="楷体_GB2312"/>
          <w:sz w:val="32"/>
          <w:szCs w:val="32"/>
        </w:rPr>
        <w:t>一、指导思想</w:t>
      </w:r>
      <w:r>
        <w:rPr>
          <w:rFonts w:hint="eastAsia" w:eastAsia="楷体_GB2312"/>
          <w:sz w:val="32"/>
          <w:szCs w:val="32"/>
        </w:rPr>
        <w:tab/>
      </w:r>
      <w:r>
        <w:rPr>
          <w:rFonts w:hint="eastAsia" w:eastAsia="楷体_GB2312"/>
          <w:sz w:val="32"/>
          <w:szCs w:val="32"/>
        </w:rPr>
        <w:fldChar w:fldCharType="begin"/>
      </w:r>
      <w:r>
        <w:rPr>
          <w:rFonts w:hint="eastAsia" w:eastAsia="楷体_GB2312"/>
          <w:sz w:val="32"/>
          <w:szCs w:val="32"/>
        </w:rPr>
        <w:instrText xml:space="preserve"> PAGEREF _Toc89090194 \h </w:instrText>
      </w:r>
      <w:r>
        <w:rPr>
          <w:rFonts w:hint="eastAsia" w:eastAsia="楷体_GB2312"/>
          <w:sz w:val="32"/>
          <w:szCs w:val="32"/>
        </w:rPr>
        <w:fldChar w:fldCharType="separate"/>
      </w:r>
      <w:r>
        <w:rPr>
          <w:rFonts w:eastAsia="楷体_GB2312"/>
          <w:sz w:val="32"/>
          <w:szCs w:val="32"/>
        </w:rPr>
        <w:t>10</w:t>
      </w:r>
      <w:r>
        <w:rPr>
          <w:rFonts w:hint="eastAsia" w:eastAsia="楷体_GB2312"/>
          <w:sz w:val="32"/>
          <w:szCs w:val="32"/>
        </w:rPr>
        <w:fldChar w:fldCharType="end"/>
      </w:r>
      <w:r>
        <w:rPr>
          <w:rFonts w:hint="eastAsia" w:eastAsia="楷体_GB2312"/>
          <w:sz w:val="32"/>
          <w:szCs w:val="32"/>
        </w:rPr>
        <w:fldChar w:fldCharType="end"/>
      </w:r>
    </w:p>
    <w:p>
      <w:pPr>
        <w:pStyle w:val="8"/>
        <w:tabs>
          <w:tab w:val="right" w:leader="dot" w:pos="8296"/>
        </w:tabs>
        <w:ind w:left="640"/>
        <w:jc w:val="center"/>
        <w:rPr>
          <w:rFonts w:hint="eastAsia" w:eastAsia="楷体_GB2312"/>
          <w:sz w:val="32"/>
          <w:szCs w:val="32"/>
        </w:rPr>
      </w:pPr>
      <w:r>
        <w:rPr>
          <w:rFonts w:hint="eastAsia" w:eastAsia="楷体_GB2312"/>
          <w:sz w:val="32"/>
          <w:szCs w:val="32"/>
        </w:rPr>
        <w:fldChar w:fldCharType="begin"/>
      </w:r>
      <w:r>
        <w:rPr>
          <w:rStyle w:val="11"/>
          <w:rFonts w:hint="eastAsia" w:eastAsia="楷体_GB2312"/>
          <w:sz w:val="32"/>
          <w:szCs w:val="32"/>
        </w:rPr>
        <w:instrText xml:space="preserve"> </w:instrText>
      </w:r>
      <w:r>
        <w:rPr>
          <w:rFonts w:hint="eastAsia" w:eastAsia="楷体_GB2312"/>
          <w:sz w:val="32"/>
          <w:szCs w:val="32"/>
        </w:rPr>
        <w:instrText xml:space="preserve">HYPERLINK \l "_Toc89090195"</w:instrText>
      </w:r>
      <w:r>
        <w:rPr>
          <w:rStyle w:val="11"/>
          <w:rFonts w:hint="eastAsia" w:eastAsia="楷体_GB2312"/>
          <w:sz w:val="32"/>
          <w:szCs w:val="32"/>
        </w:rPr>
        <w:instrText xml:space="preserve"> </w:instrText>
      </w:r>
      <w:r>
        <w:rPr>
          <w:rFonts w:hint="eastAsia" w:eastAsia="楷体_GB2312"/>
          <w:sz w:val="32"/>
          <w:szCs w:val="32"/>
        </w:rPr>
        <w:fldChar w:fldCharType="separate"/>
      </w:r>
      <w:r>
        <w:rPr>
          <w:rStyle w:val="11"/>
          <w:rFonts w:hint="eastAsia" w:eastAsia="楷体_GB2312"/>
          <w:sz w:val="32"/>
          <w:szCs w:val="32"/>
        </w:rPr>
        <w:t>二、战略定位</w:t>
      </w:r>
      <w:r>
        <w:rPr>
          <w:rFonts w:hint="eastAsia" w:eastAsia="楷体_GB2312"/>
          <w:sz w:val="32"/>
          <w:szCs w:val="32"/>
        </w:rPr>
        <w:tab/>
      </w:r>
      <w:r>
        <w:rPr>
          <w:rFonts w:hint="eastAsia" w:eastAsia="楷体_GB2312"/>
          <w:sz w:val="32"/>
          <w:szCs w:val="32"/>
        </w:rPr>
        <w:fldChar w:fldCharType="begin"/>
      </w:r>
      <w:r>
        <w:rPr>
          <w:rFonts w:hint="eastAsia" w:eastAsia="楷体_GB2312"/>
          <w:sz w:val="32"/>
          <w:szCs w:val="32"/>
        </w:rPr>
        <w:instrText xml:space="preserve"> PAGEREF _Toc89090195 \h </w:instrText>
      </w:r>
      <w:r>
        <w:rPr>
          <w:rFonts w:hint="eastAsia" w:eastAsia="楷体_GB2312"/>
          <w:sz w:val="32"/>
          <w:szCs w:val="32"/>
        </w:rPr>
        <w:fldChar w:fldCharType="separate"/>
      </w:r>
      <w:r>
        <w:rPr>
          <w:rFonts w:eastAsia="楷体_GB2312"/>
          <w:sz w:val="32"/>
          <w:szCs w:val="32"/>
        </w:rPr>
        <w:t>10</w:t>
      </w:r>
      <w:r>
        <w:rPr>
          <w:rFonts w:hint="eastAsia" w:eastAsia="楷体_GB2312"/>
          <w:sz w:val="32"/>
          <w:szCs w:val="32"/>
        </w:rPr>
        <w:fldChar w:fldCharType="end"/>
      </w:r>
      <w:r>
        <w:rPr>
          <w:rFonts w:hint="eastAsia" w:eastAsia="楷体_GB2312"/>
          <w:sz w:val="32"/>
          <w:szCs w:val="32"/>
        </w:rPr>
        <w:fldChar w:fldCharType="end"/>
      </w:r>
    </w:p>
    <w:p>
      <w:pPr>
        <w:pStyle w:val="8"/>
        <w:tabs>
          <w:tab w:val="right" w:leader="dot" w:pos="8296"/>
        </w:tabs>
        <w:ind w:left="640"/>
        <w:jc w:val="center"/>
        <w:rPr>
          <w:rFonts w:hint="eastAsia" w:eastAsia="楷体_GB2312"/>
          <w:sz w:val="32"/>
          <w:szCs w:val="32"/>
        </w:rPr>
      </w:pPr>
      <w:r>
        <w:rPr>
          <w:rFonts w:hint="eastAsia" w:eastAsia="楷体_GB2312"/>
          <w:sz w:val="32"/>
          <w:szCs w:val="32"/>
        </w:rPr>
        <w:fldChar w:fldCharType="begin"/>
      </w:r>
      <w:r>
        <w:rPr>
          <w:rStyle w:val="11"/>
          <w:rFonts w:hint="eastAsia" w:eastAsia="楷体_GB2312"/>
          <w:sz w:val="32"/>
          <w:szCs w:val="32"/>
        </w:rPr>
        <w:instrText xml:space="preserve"> </w:instrText>
      </w:r>
      <w:r>
        <w:rPr>
          <w:rFonts w:hint="eastAsia" w:eastAsia="楷体_GB2312"/>
          <w:sz w:val="32"/>
          <w:szCs w:val="32"/>
        </w:rPr>
        <w:instrText xml:space="preserve">HYPERLINK \l "_Toc89090196"</w:instrText>
      </w:r>
      <w:r>
        <w:rPr>
          <w:rStyle w:val="11"/>
          <w:rFonts w:hint="eastAsia" w:eastAsia="楷体_GB2312"/>
          <w:sz w:val="32"/>
          <w:szCs w:val="32"/>
        </w:rPr>
        <w:instrText xml:space="preserve"> </w:instrText>
      </w:r>
      <w:r>
        <w:rPr>
          <w:rFonts w:hint="eastAsia" w:eastAsia="楷体_GB2312"/>
          <w:sz w:val="32"/>
          <w:szCs w:val="32"/>
        </w:rPr>
        <w:fldChar w:fldCharType="separate"/>
      </w:r>
      <w:r>
        <w:rPr>
          <w:rStyle w:val="11"/>
          <w:rFonts w:hint="eastAsia" w:eastAsia="楷体_GB2312"/>
          <w:sz w:val="32"/>
          <w:szCs w:val="32"/>
        </w:rPr>
        <w:t>三、发展原则</w:t>
      </w:r>
      <w:r>
        <w:rPr>
          <w:rFonts w:hint="eastAsia" w:eastAsia="楷体_GB2312"/>
          <w:sz w:val="32"/>
          <w:szCs w:val="32"/>
        </w:rPr>
        <w:tab/>
      </w:r>
      <w:r>
        <w:rPr>
          <w:rFonts w:hint="eastAsia" w:eastAsia="楷体_GB2312"/>
          <w:sz w:val="32"/>
          <w:szCs w:val="32"/>
        </w:rPr>
        <w:fldChar w:fldCharType="begin"/>
      </w:r>
      <w:r>
        <w:rPr>
          <w:rFonts w:hint="eastAsia" w:eastAsia="楷体_GB2312"/>
          <w:sz w:val="32"/>
          <w:szCs w:val="32"/>
        </w:rPr>
        <w:instrText xml:space="preserve"> PAGEREF _Toc89090196 \h </w:instrText>
      </w:r>
      <w:r>
        <w:rPr>
          <w:rFonts w:hint="eastAsia" w:eastAsia="楷体_GB2312"/>
          <w:sz w:val="32"/>
          <w:szCs w:val="32"/>
        </w:rPr>
        <w:fldChar w:fldCharType="separate"/>
      </w:r>
      <w:r>
        <w:rPr>
          <w:rFonts w:eastAsia="楷体_GB2312"/>
          <w:sz w:val="32"/>
          <w:szCs w:val="32"/>
        </w:rPr>
        <w:t>10</w:t>
      </w:r>
      <w:r>
        <w:rPr>
          <w:rFonts w:hint="eastAsia" w:eastAsia="楷体_GB2312"/>
          <w:sz w:val="32"/>
          <w:szCs w:val="32"/>
        </w:rPr>
        <w:fldChar w:fldCharType="end"/>
      </w:r>
      <w:r>
        <w:rPr>
          <w:rFonts w:hint="eastAsia" w:eastAsia="楷体_GB2312"/>
          <w:sz w:val="32"/>
          <w:szCs w:val="32"/>
        </w:rPr>
        <w:fldChar w:fldCharType="end"/>
      </w:r>
    </w:p>
    <w:p>
      <w:pPr>
        <w:pStyle w:val="8"/>
        <w:tabs>
          <w:tab w:val="right" w:leader="dot" w:pos="8296"/>
        </w:tabs>
        <w:ind w:left="640"/>
        <w:jc w:val="center"/>
        <w:rPr>
          <w:rFonts w:hint="eastAsia" w:eastAsia="楷体_GB2312"/>
          <w:sz w:val="32"/>
          <w:szCs w:val="32"/>
        </w:rPr>
      </w:pPr>
      <w:r>
        <w:rPr>
          <w:rFonts w:hint="eastAsia" w:eastAsia="楷体_GB2312"/>
          <w:sz w:val="32"/>
          <w:szCs w:val="32"/>
        </w:rPr>
        <w:fldChar w:fldCharType="begin"/>
      </w:r>
      <w:r>
        <w:rPr>
          <w:rStyle w:val="11"/>
          <w:rFonts w:hint="eastAsia" w:eastAsia="楷体_GB2312"/>
          <w:sz w:val="32"/>
          <w:szCs w:val="32"/>
        </w:rPr>
        <w:instrText xml:space="preserve"> </w:instrText>
      </w:r>
      <w:r>
        <w:rPr>
          <w:rFonts w:hint="eastAsia" w:eastAsia="楷体_GB2312"/>
          <w:sz w:val="32"/>
          <w:szCs w:val="32"/>
        </w:rPr>
        <w:instrText xml:space="preserve">HYPERLINK \l "_Toc89090197"</w:instrText>
      </w:r>
      <w:r>
        <w:rPr>
          <w:rStyle w:val="11"/>
          <w:rFonts w:hint="eastAsia" w:eastAsia="楷体_GB2312"/>
          <w:sz w:val="32"/>
          <w:szCs w:val="32"/>
        </w:rPr>
        <w:instrText xml:space="preserve"> </w:instrText>
      </w:r>
      <w:r>
        <w:rPr>
          <w:rFonts w:hint="eastAsia" w:eastAsia="楷体_GB2312"/>
          <w:sz w:val="32"/>
          <w:szCs w:val="32"/>
        </w:rPr>
        <w:fldChar w:fldCharType="separate"/>
      </w:r>
      <w:r>
        <w:rPr>
          <w:rStyle w:val="11"/>
          <w:rFonts w:hint="eastAsia" w:eastAsia="楷体_GB2312"/>
          <w:sz w:val="32"/>
          <w:szCs w:val="32"/>
        </w:rPr>
        <w:t>四、发展目标</w:t>
      </w:r>
      <w:r>
        <w:rPr>
          <w:rFonts w:hint="eastAsia" w:eastAsia="楷体_GB2312"/>
          <w:sz w:val="32"/>
          <w:szCs w:val="32"/>
        </w:rPr>
        <w:tab/>
      </w:r>
      <w:r>
        <w:rPr>
          <w:rFonts w:hint="eastAsia" w:eastAsia="楷体_GB2312"/>
          <w:sz w:val="32"/>
          <w:szCs w:val="32"/>
        </w:rPr>
        <w:fldChar w:fldCharType="begin"/>
      </w:r>
      <w:r>
        <w:rPr>
          <w:rFonts w:hint="eastAsia" w:eastAsia="楷体_GB2312"/>
          <w:sz w:val="32"/>
          <w:szCs w:val="32"/>
        </w:rPr>
        <w:instrText xml:space="preserve"> PAGEREF _Toc89090197 \h </w:instrText>
      </w:r>
      <w:r>
        <w:rPr>
          <w:rFonts w:hint="eastAsia" w:eastAsia="楷体_GB2312"/>
          <w:sz w:val="32"/>
          <w:szCs w:val="32"/>
        </w:rPr>
        <w:fldChar w:fldCharType="separate"/>
      </w:r>
      <w:r>
        <w:rPr>
          <w:rFonts w:eastAsia="楷体_GB2312"/>
          <w:sz w:val="32"/>
          <w:szCs w:val="32"/>
        </w:rPr>
        <w:t>11</w:t>
      </w:r>
      <w:r>
        <w:rPr>
          <w:rFonts w:hint="eastAsia" w:eastAsia="楷体_GB2312"/>
          <w:sz w:val="32"/>
          <w:szCs w:val="32"/>
        </w:rPr>
        <w:fldChar w:fldCharType="end"/>
      </w:r>
      <w:r>
        <w:rPr>
          <w:rFonts w:hint="eastAsia" w:eastAsia="楷体_GB2312"/>
          <w:sz w:val="32"/>
          <w:szCs w:val="32"/>
        </w:rPr>
        <w:fldChar w:fldCharType="end"/>
      </w:r>
    </w:p>
    <w:p>
      <w:pPr>
        <w:pStyle w:val="6"/>
        <w:tabs>
          <w:tab w:val="right" w:leader="dot" w:pos="8296"/>
        </w:tabs>
        <w:jc w:val="center"/>
        <w:rPr>
          <w:rFonts w:hint="eastAsia" w:eastAsia="黑体"/>
          <w:sz w:val="32"/>
          <w:szCs w:val="32"/>
        </w:rPr>
      </w:pPr>
      <w:r>
        <w:rPr>
          <w:rFonts w:hint="eastAsia" w:eastAsia="黑体"/>
          <w:sz w:val="32"/>
          <w:szCs w:val="32"/>
        </w:rPr>
        <w:fldChar w:fldCharType="begin"/>
      </w:r>
      <w:r>
        <w:rPr>
          <w:rStyle w:val="11"/>
          <w:rFonts w:hint="eastAsia" w:eastAsia="黑体"/>
          <w:sz w:val="32"/>
          <w:szCs w:val="32"/>
        </w:rPr>
        <w:instrText xml:space="preserve"> </w:instrText>
      </w:r>
      <w:r>
        <w:rPr>
          <w:rFonts w:hint="eastAsia" w:eastAsia="黑体"/>
          <w:sz w:val="32"/>
          <w:szCs w:val="32"/>
        </w:rPr>
        <w:instrText xml:space="preserve">HYPERLINK \l "_Toc89090198"</w:instrText>
      </w:r>
      <w:r>
        <w:rPr>
          <w:rStyle w:val="11"/>
          <w:rFonts w:hint="eastAsia" w:eastAsia="黑体"/>
          <w:sz w:val="32"/>
          <w:szCs w:val="32"/>
        </w:rPr>
        <w:instrText xml:space="preserve"> </w:instrText>
      </w:r>
      <w:r>
        <w:rPr>
          <w:rFonts w:hint="eastAsia" w:eastAsia="黑体"/>
          <w:sz w:val="32"/>
          <w:szCs w:val="32"/>
        </w:rPr>
        <w:fldChar w:fldCharType="separate"/>
      </w:r>
      <w:r>
        <w:rPr>
          <w:rStyle w:val="11"/>
          <w:rFonts w:hint="eastAsia" w:eastAsia="黑体"/>
          <w:sz w:val="32"/>
          <w:szCs w:val="32"/>
        </w:rPr>
        <w:t>第四章 构建新发展格局，谱写科技创新新篇章</w:t>
      </w:r>
      <w:r>
        <w:rPr>
          <w:rFonts w:hint="eastAsia" w:eastAsia="黑体"/>
          <w:sz w:val="32"/>
          <w:szCs w:val="32"/>
        </w:rPr>
        <w:tab/>
      </w:r>
      <w:r>
        <w:rPr>
          <w:rFonts w:hint="eastAsia" w:eastAsia="黑体"/>
          <w:sz w:val="32"/>
          <w:szCs w:val="32"/>
        </w:rPr>
        <w:fldChar w:fldCharType="begin"/>
      </w:r>
      <w:r>
        <w:rPr>
          <w:rFonts w:hint="eastAsia" w:eastAsia="黑体"/>
          <w:sz w:val="32"/>
          <w:szCs w:val="32"/>
        </w:rPr>
        <w:instrText xml:space="preserve"> PAGEREF _Toc89090198 \h </w:instrText>
      </w:r>
      <w:r>
        <w:rPr>
          <w:rFonts w:hint="eastAsia" w:eastAsia="黑体"/>
          <w:sz w:val="32"/>
          <w:szCs w:val="32"/>
        </w:rPr>
        <w:fldChar w:fldCharType="separate"/>
      </w:r>
      <w:r>
        <w:rPr>
          <w:rFonts w:eastAsia="黑体"/>
          <w:sz w:val="32"/>
          <w:szCs w:val="32"/>
        </w:rPr>
        <w:t>14</w:t>
      </w:r>
      <w:r>
        <w:rPr>
          <w:rFonts w:hint="eastAsia" w:eastAsia="黑体"/>
          <w:sz w:val="32"/>
          <w:szCs w:val="32"/>
        </w:rPr>
        <w:fldChar w:fldCharType="end"/>
      </w:r>
      <w:r>
        <w:rPr>
          <w:rFonts w:hint="eastAsia" w:eastAsia="黑体"/>
          <w:sz w:val="32"/>
          <w:szCs w:val="32"/>
        </w:rPr>
        <w:fldChar w:fldCharType="end"/>
      </w:r>
    </w:p>
    <w:p>
      <w:pPr>
        <w:pStyle w:val="8"/>
        <w:tabs>
          <w:tab w:val="right" w:leader="dot" w:pos="8296"/>
        </w:tabs>
        <w:ind w:left="640"/>
        <w:jc w:val="center"/>
        <w:rPr>
          <w:rFonts w:hint="eastAsia" w:eastAsia="楷体_GB2312"/>
          <w:sz w:val="32"/>
          <w:szCs w:val="32"/>
        </w:rPr>
      </w:pPr>
      <w:r>
        <w:rPr>
          <w:rFonts w:hint="eastAsia" w:eastAsia="楷体_GB2312"/>
          <w:sz w:val="32"/>
          <w:szCs w:val="32"/>
        </w:rPr>
        <w:fldChar w:fldCharType="begin"/>
      </w:r>
      <w:r>
        <w:rPr>
          <w:rStyle w:val="11"/>
          <w:rFonts w:hint="eastAsia" w:eastAsia="楷体_GB2312"/>
          <w:sz w:val="32"/>
          <w:szCs w:val="32"/>
        </w:rPr>
        <w:instrText xml:space="preserve"> </w:instrText>
      </w:r>
      <w:r>
        <w:rPr>
          <w:rFonts w:hint="eastAsia" w:eastAsia="楷体_GB2312"/>
          <w:sz w:val="32"/>
          <w:szCs w:val="32"/>
        </w:rPr>
        <w:instrText xml:space="preserve">HYPERLINK \l "_Toc89090199"</w:instrText>
      </w:r>
      <w:r>
        <w:rPr>
          <w:rStyle w:val="11"/>
          <w:rFonts w:hint="eastAsia" w:eastAsia="楷体_GB2312"/>
          <w:sz w:val="32"/>
          <w:szCs w:val="32"/>
        </w:rPr>
        <w:instrText xml:space="preserve"> </w:instrText>
      </w:r>
      <w:r>
        <w:rPr>
          <w:rFonts w:hint="eastAsia" w:eastAsia="楷体_GB2312"/>
          <w:sz w:val="32"/>
          <w:szCs w:val="32"/>
        </w:rPr>
        <w:fldChar w:fldCharType="separate"/>
      </w:r>
      <w:r>
        <w:rPr>
          <w:rStyle w:val="11"/>
          <w:rFonts w:hint="eastAsia" w:eastAsia="楷体_GB2312"/>
          <w:sz w:val="32"/>
          <w:szCs w:val="32"/>
        </w:rPr>
        <w:t>一、放大太仓格局，持续优化创新生态</w:t>
      </w:r>
      <w:r>
        <w:rPr>
          <w:rFonts w:hint="eastAsia" w:eastAsia="楷体_GB2312"/>
          <w:sz w:val="32"/>
          <w:szCs w:val="32"/>
        </w:rPr>
        <w:tab/>
      </w:r>
      <w:r>
        <w:rPr>
          <w:rFonts w:hint="eastAsia" w:eastAsia="楷体_GB2312"/>
          <w:sz w:val="32"/>
          <w:szCs w:val="32"/>
        </w:rPr>
        <w:fldChar w:fldCharType="begin"/>
      </w:r>
      <w:r>
        <w:rPr>
          <w:rFonts w:hint="eastAsia" w:eastAsia="楷体_GB2312"/>
          <w:sz w:val="32"/>
          <w:szCs w:val="32"/>
        </w:rPr>
        <w:instrText xml:space="preserve"> PAGEREF _Toc89090199 \h </w:instrText>
      </w:r>
      <w:r>
        <w:rPr>
          <w:rFonts w:hint="eastAsia" w:eastAsia="楷体_GB2312"/>
          <w:sz w:val="32"/>
          <w:szCs w:val="32"/>
        </w:rPr>
        <w:fldChar w:fldCharType="separate"/>
      </w:r>
      <w:r>
        <w:rPr>
          <w:rFonts w:eastAsia="楷体_GB2312"/>
          <w:sz w:val="32"/>
          <w:szCs w:val="32"/>
        </w:rPr>
        <w:t>14</w:t>
      </w:r>
      <w:r>
        <w:rPr>
          <w:rFonts w:hint="eastAsia" w:eastAsia="楷体_GB2312"/>
          <w:sz w:val="32"/>
          <w:szCs w:val="32"/>
        </w:rPr>
        <w:fldChar w:fldCharType="end"/>
      </w:r>
      <w:r>
        <w:rPr>
          <w:rFonts w:hint="eastAsia" w:eastAsia="楷体_GB2312"/>
          <w:sz w:val="32"/>
          <w:szCs w:val="32"/>
        </w:rPr>
        <w:fldChar w:fldCharType="end"/>
      </w:r>
    </w:p>
    <w:p>
      <w:pPr>
        <w:pStyle w:val="8"/>
        <w:tabs>
          <w:tab w:val="right" w:leader="dot" w:pos="8296"/>
        </w:tabs>
        <w:ind w:left="640"/>
        <w:jc w:val="center"/>
        <w:rPr>
          <w:rFonts w:hint="eastAsia" w:eastAsia="楷体_GB2312"/>
          <w:sz w:val="32"/>
          <w:szCs w:val="32"/>
        </w:rPr>
      </w:pPr>
      <w:r>
        <w:rPr>
          <w:rFonts w:hint="eastAsia" w:eastAsia="楷体_GB2312"/>
          <w:sz w:val="32"/>
          <w:szCs w:val="32"/>
        </w:rPr>
        <w:fldChar w:fldCharType="begin"/>
      </w:r>
      <w:r>
        <w:rPr>
          <w:rStyle w:val="11"/>
          <w:rFonts w:hint="eastAsia" w:eastAsia="楷体_GB2312"/>
          <w:sz w:val="32"/>
          <w:szCs w:val="32"/>
        </w:rPr>
        <w:instrText xml:space="preserve"> </w:instrText>
      </w:r>
      <w:r>
        <w:rPr>
          <w:rFonts w:hint="eastAsia" w:eastAsia="楷体_GB2312"/>
          <w:sz w:val="32"/>
          <w:szCs w:val="32"/>
        </w:rPr>
        <w:instrText xml:space="preserve">HYPERLINK \l "_Toc89090203"</w:instrText>
      </w:r>
      <w:r>
        <w:rPr>
          <w:rStyle w:val="11"/>
          <w:rFonts w:hint="eastAsia" w:eastAsia="楷体_GB2312"/>
          <w:sz w:val="32"/>
          <w:szCs w:val="32"/>
        </w:rPr>
        <w:instrText xml:space="preserve"> </w:instrText>
      </w:r>
      <w:r>
        <w:rPr>
          <w:rFonts w:hint="eastAsia" w:eastAsia="楷体_GB2312"/>
          <w:sz w:val="32"/>
          <w:szCs w:val="32"/>
        </w:rPr>
        <w:fldChar w:fldCharType="separate"/>
      </w:r>
      <w:r>
        <w:rPr>
          <w:rStyle w:val="11"/>
          <w:rFonts w:hint="eastAsia" w:eastAsia="楷体_GB2312"/>
          <w:sz w:val="32"/>
          <w:szCs w:val="32"/>
        </w:rPr>
        <w:t>二、放大人才价值，持续做优创新平台</w:t>
      </w:r>
      <w:r>
        <w:rPr>
          <w:rFonts w:hint="eastAsia" w:eastAsia="楷体_GB2312"/>
          <w:sz w:val="32"/>
          <w:szCs w:val="32"/>
        </w:rPr>
        <w:tab/>
      </w:r>
      <w:r>
        <w:rPr>
          <w:rFonts w:hint="eastAsia" w:eastAsia="楷体_GB2312"/>
          <w:sz w:val="32"/>
          <w:szCs w:val="32"/>
        </w:rPr>
        <w:fldChar w:fldCharType="begin"/>
      </w:r>
      <w:r>
        <w:rPr>
          <w:rFonts w:hint="eastAsia" w:eastAsia="楷体_GB2312"/>
          <w:sz w:val="32"/>
          <w:szCs w:val="32"/>
        </w:rPr>
        <w:instrText xml:space="preserve"> PAGEREF _Toc89090203 \h </w:instrText>
      </w:r>
      <w:r>
        <w:rPr>
          <w:rFonts w:hint="eastAsia" w:eastAsia="楷体_GB2312"/>
          <w:sz w:val="32"/>
          <w:szCs w:val="32"/>
        </w:rPr>
        <w:fldChar w:fldCharType="separate"/>
      </w:r>
      <w:r>
        <w:rPr>
          <w:rFonts w:eastAsia="楷体_GB2312"/>
          <w:sz w:val="32"/>
          <w:szCs w:val="32"/>
        </w:rPr>
        <w:t>20</w:t>
      </w:r>
      <w:r>
        <w:rPr>
          <w:rFonts w:hint="eastAsia" w:eastAsia="楷体_GB2312"/>
          <w:sz w:val="32"/>
          <w:szCs w:val="32"/>
        </w:rPr>
        <w:fldChar w:fldCharType="end"/>
      </w:r>
      <w:r>
        <w:rPr>
          <w:rFonts w:hint="eastAsia" w:eastAsia="楷体_GB2312"/>
          <w:sz w:val="32"/>
          <w:szCs w:val="32"/>
        </w:rPr>
        <w:fldChar w:fldCharType="end"/>
      </w:r>
    </w:p>
    <w:p>
      <w:pPr>
        <w:pStyle w:val="8"/>
        <w:tabs>
          <w:tab w:val="right" w:leader="dot" w:pos="8296"/>
        </w:tabs>
        <w:ind w:left="640"/>
        <w:jc w:val="center"/>
        <w:rPr>
          <w:rFonts w:hint="eastAsia" w:eastAsia="楷体_GB2312"/>
          <w:sz w:val="32"/>
          <w:szCs w:val="32"/>
        </w:rPr>
      </w:pPr>
      <w:r>
        <w:rPr>
          <w:rFonts w:hint="eastAsia" w:eastAsia="楷体_GB2312"/>
          <w:sz w:val="32"/>
          <w:szCs w:val="32"/>
        </w:rPr>
        <w:fldChar w:fldCharType="begin"/>
      </w:r>
      <w:r>
        <w:rPr>
          <w:rStyle w:val="11"/>
          <w:rFonts w:hint="eastAsia" w:eastAsia="楷体_GB2312"/>
          <w:sz w:val="32"/>
          <w:szCs w:val="32"/>
        </w:rPr>
        <w:instrText xml:space="preserve"> </w:instrText>
      </w:r>
      <w:r>
        <w:rPr>
          <w:rFonts w:hint="eastAsia" w:eastAsia="楷体_GB2312"/>
          <w:sz w:val="32"/>
          <w:szCs w:val="32"/>
        </w:rPr>
        <w:instrText xml:space="preserve">HYPERLINK \l "_Toc89090208"</w:instrText>
      </w:r>
      <w:r>
        <w:rPr>
          <w:rStyle w:val="11"/>
          <w:rFonts w:hint="eastAsia" w:eastAsia="楷体_GB2312"/>
          <w:sz w:val="32"/>
          <w:szCs w:val="32"/>
        </w:rPr>
        <w:instrText xml:space="preserve"> </w:instrText>
      </w:r>
      <w:r>
        <w:rPr>
          <w:rFonts w:hint="eastAsia" w:eastAsia="楷体_GB2312"/>
          <w:sz w:val="32"/>
          <w:szCs w:val="32"/>
        </w:rPr>
        <w:fldChar w:fldCharType="separate"/>
      </w:r>
      <w:r>
        <w:rPr>
          <w:rStyle w:val="11"/>
          <w:rFonts w:hint="eastAsia" w:eastAsia="楷体_GB2312"/>
          <w:sz w:val="32"/>
          <w:szCs w:val="32"/>
        </w:rPr>
        <w:t>三、放大主体地位，持续增强企业创新</w:t>
      </w:r>
      <w:r>
        <w:rPr>
          <w:rFonts w:hint="eastAsia" w:eastAsia="楷体_GB2312"/>
          <w:sz w:val="32"/>
          <w:szCs w:val="32"/>
        </w:rPr>
        <w:tab/>
      </w:r>
      <w:r>
        <w:rPr>
          <w:rFonts w:hint="eastAsia" w:eastAsia="楷体_GB2312"/>
          <w:sz w:val="32"/>
          <w:szCs w:val="32"/>
        </w:rPr>
        <w:fldChar w:fldCharType="begin"/>
      </w:r>
      <w:r>
        <w:rPr>
          <w:rFonts w:hint="eastAsia" w:eastAsia="楷体_GB2312"/>
          <w:sz w:val="32"/>
          <w:szCs w:val="32"/>
        </w:rPr>
        <w:instrText xml:space="preserve"> PAGEREF _Toc89090208 \h </w:instrText>
      </w:r>
      <w:r>
        <w:rPr>
          <w:rFonts w:hint="eastAsia" w:eastAsia="楷体_GB2312"/>
          <w:sz w:val="32"/>
          <w:szCs w:val="32"/>
        </w:rPr>
        <w:fldChar w:fldCharType="separate"/>
      </w:r>
      <w:r>
        <w:rPr>
          <w:rFonts w:eastAsia="楷体_GB2312"/>
          <w:sz w:val="32"/>
          <w:szCs w:val="32"/>
        </w:rPr>
        <w:t>25</w:t>
      </w:r>
      <w:r>
        <w:rPr>
          <w:rFonts w:hint="eastAsia" w:eastAsia="楷体_GB2312"/>
          <w:sz w:val="32"/>
          <w:szCs w:val="32"/>
        </w:rPr>
        <w:fldChar w:fldCharType="end"/>
      </w:r>
      <w:r>
        <w:rPr>
          <w:rFonts w:hint="eastAsia" w:eastAsia="楷体_GB2312"/>
          <w:sz w:val="32"/>
          <w:szCs w:val="32"/>
        </w:rPr>
        <w:fldChar w:fldCharType="end"/>
      </w:r>
    </w:p>
    <w:p>
      <w:pPr>
        <w:pStyle w:val="8"/>
        <w:tabs>
          <w:tab w:val="right" w:leader="dot" w:pos="8296"/>
        </w:tabs>
        <w:ind w:left="640"/>
        <w:jc w:val="center"/>
        <w:rPr>
          <w:rFonts w:hint="eastAsia" w:eastAsia="楷体_GB2312"/>
          <w:sz w:val="32"/>
          <w:szCs w:val="32"/>
        </w:rPr>
      </w:pPr>
      <w:r>
        <w:rPr>
          <w:rFonts w:hint="eastAsia" w:eastAsia="楷体_GB2312"/>
          <w:sz w:val="32"/>
          <w:szCs w:val="32"/>
        </w:rPr>
        <w:fldChar w:fldCharType="begin"/>
      </w:r>
      <w:r>
        <w:rPr>
          <w:rStyle w:val="11"/>
          <w:rFonts w:hint="eastAsia" w:eastAsia="楷体_GB2312"/>
          <w:sz w:val="32"/>
          <w:szCs w:val="32"/>
        </w:rPr>
        <w:instrText xml:space="preserve"> </w:instrText>
      </w:r>
      <w:r>
        <w:rPr>
          <w:rFonts w:hint="eastAsia" w:eastAsia="楷体_GB2312"/>
          <w:sz w:val="32"/>
          <w:szCs w:val="32"/>
        </w:rPr>
        <w:instrText xml:space="preserve">HYPERLINK \l "_Toc89090212"</w:instrText>
      </w:r>
      <w:r>
        <w:rPr>
          <w:rStyle w:val="11"/>
          <w:rFonts w:hint="eastAsia" w:eastAsia="楷体_GB2312"/>
          <w:sz w:val="32"/>
          <w:szCs w:val="32"/>
        </w:rPr>
        <w:instrText xml:space="preserve"> </w:instrText>
      </w:r>
      <w:r>
        <w:rPr>
          <w:rFonts w:hint="eastAsia" w:eastAsia="楷体_GB2312"/>
          <w:sz w:val="32"/>
          <w:szCs w:val="32"/>
        </w:rPr>
        <w:fldChar w:fldCharType="separate"/>
      </w:r>
      <w:r>
        <w:rPr>
          <w:rStyle w:val="11"/>
          <w:rFonts w:hint="eastAsia" w:eastAsia="楷体_GB2312"/>
          <w:sz w:val="32"/>
          <w:szCs w:val="32"/>
        </w:rPr>
        <w:t>四、放大创新空间，持续做大创新势能</w:t>
      </w:r>
      <w:r>
        <w:rPr>
          <w:rFonts w:hint="eastAsia" w:eastAsia="楷体_GB2312"/>
          <w:sz w:val="32"/>
          <w:szCs w:val="32"/>
        </w:rPr>
        <w:tab/>
      </w:r>
      <w:r>
        <w:rPr>
          <w:rFonts w:hint="eastAsia" w:eastAsia="楷体_GB2312"/>
          <w:sz w:val="32"/>
          <w:szCs w:val="32"/>
        </w:rPr>
        <w:fldChar w:fldCharType="begin"/>
      </w:r>
      <w:r>
        <w:rPr>
          <w:rFonts w:hint="eastAsia" w:eastAsia="楷体_GB2312"/>
          <w:sz w:val="32"/>
          <w:szCs w:val="32"/>
        </w:rPr>
        <w:instrText xml:space="preserve"> PAGEREF _Toc89090212 \h </w:instrText>
      </w:r>
      <w:r>
        <w:rPr>
          <w:rFonts w:hint="eastAsia" w:eastAsia="楷体_GB2312"/>
          <w:sz w:val="32"/>
          <w:szCs w:val="32"/>
        </w:rPr>
        <w:fldChar w:fldCharType="separate"/>
      </w:r>
      <w:r>
        <w:rPr>
          <w:rFonts w:eastAsia="楷体_GB2312"/>
          <w:sz w:val="32"/>
          <w:szCs w:val="32"/>
        </w:rPr>
        <w:t>28</w:t>
      </w:r>
      <w:r>
        <w:rPr>
          <w:rFonts w:hint="eastAsia" w:eastAsia="楷体_GB2312"/>
          <w:sz w:val="32"/>
          <w:szCs w:val="32"/>
        </w:rPr>
        <w:fldChar w:fldCharType="end"/>
      </w:r>
      <w:r>
        <w:rPr>
          <w:rFonts w:hint="eastAsia" w:eastAsia="楷体_GB2312"/>
          <w:sz w:val="32"/>
          <w:szCs w:val="32"/>
        </w:rPr>
        <w:fldChar w:fldCharType="end"/>
      </w:r>
    </w:p>
    <w:p>
      <w:pPr>
        <w:pStyle w:val="6"/>
        <w:tabs>
          <w:tab w:val="right" w:leader="dot" w:pos="8296"/>
        </w:tabs>
        <w:jc w:val="center"/>
        <w:rPr>
          <w:rFonts w:hint="eastAsia" w:eastAsia="黑体"/>
          <w:sz w:val="32"/>
          <w:szCs w:val="32"/>
        </w:rPr>
      </w:pPr>
      <w:r>
        <w:rPr>
          <w:rFonts w:hint="eastAsia" w:eastAsia="黑体"/>
          <w:sz w:val="32"/>
          <w:szCs w:val="32"/>
        </w:rPr>
        <w:fldChar w:fldCharType="begin"/>
      </w:r>
      <w:r>
        <w:rPr>
          <w:rStyle w:val="11"/>
          <w:rFonts w:hint="eastAsia" w:eastAsia="黑体"/>
          <w:sz w:val="32"/>
          <w:szCs w:val="32"/>
        </w:rPr>
        <w:instrText xml:space="preserve"> </w:instrText>
      </w:r>
      <w:r>
        <w:rPr>
          <w:rFonts w:hint="eastAsia" w:eastAsia="黑体"/>
          <w:sz w:val="32"/>
          <w:szCs w:val="32"/>
        </w:rPr>
        <w:instrText xml:space="preserve">HYPERLINK \l "_Toc89090216"</w:instrText>
      </w:r>
      <w:r>
        <w:rPr>
          <w:rStyle w:val="11"/>
          <w:rFonts w:hint="eastAsia" w:eastAsia="黑体"/>
          <w:sz w:val="32"/>
          <w:szCs w:val="32"/>
        </w:rPr>
        <w:instrText xml:space="preserve"> </w:instrText>
      </w:r>
      <w:r>
        <w:rPr>
          <w:rFonts w:hint="eastAsia" w:eastAsia="黑体"/>
          <w:sz w:val="32"/>
          <w:szCs w:val="32"/>
        </w:rPr>
        <w:fldChar w:fldCharType="separate"/>
      </w:r>
      <w:r>
        <w:rPr>
          <w:rStyle w:val="11"/>
          <w:rFonts w:hint="eastAsia" w:eastAsia="黑体"/>
          <w:sz w:val="32"/>
          <w:szCs w:val="32"/>
        </w:rPr>
        <w:t>第五章 实施“四大”计划，打造科技创新新体系</w:t>
      </w:r>
      <w:r>
        <w:rPr>
          <w:rFonts w:hint="eastAsia" w:eastAsia="黑体"/>
          <w:sz w:val="32"/>
          <w:szCs w:val="32"/>
        </w:rPr>
        <w:tab/>
      </w:r>
      <w:r>
        <w:rPr>
          <w:rFonts w:hint="eastAsia" w:eastAsia="黑体"/>
          <w:sz w:val="32"/>
          <w:szCs w:val="32"/>
        </w:rPr>
        <w:fldChar w:fldCharType="begin"/>
      </w:r>
      <w:r>
        <w:rPr>
          <w:rFonts w:hint="eastAsia" w:eastAsia="黑体"/>
          <w:sz w:val="32"/>
          <w:szCs w:val="32"/>
        </w:rPr>
        <w:instrText xml:space="preserve"> PAGEREF _Toc89090216 \h </w:instrText>
      </w:r>
      <w:r>
        <w:rPr>
          <w:rFonts w:hint="eastAsia" w:eastAsia="黑体"/>
          <w:sz w:val="32"/>
          <w:szCs w:val="32"/>
        </w:rPr>
        <w:fldChar w:fldCharType="separate"/>
      </w:r>
      <w:r>
        <w:rPr>
          <w:rFonts w:eastAsia="黑体"/>
          <w:sz w:val="32"/>
          <w:szCs w:val="32"/>
        </w:rPr>
        <w:t>33</w:t>
      </w:r>
      <w:r>
        <w:rPr>
          <w:rFonts w:hint="eastAsia" w:eastAsia="黑体"/>
          <w:sz w:val="32"/>
          <w:szCs w:val="32"/>
        </w:rPr>
        <w:fldChar w:fldCharType="end"/>
      </w:r>
      <w:r>
        <w:rPr>
          <w:rFonts w:hint="eastAsia" w:eastAsia="黑体"/>
          <w:sz w:val="32"/>
          <w:szCs w:val="32"/>
        </w:rPr>
        <w:fldChar w:fldCharType="end"/>
      </w:r>
    </w:p>
    <w:p>
      <w:pPr>
        <w:pStyle w:val="8"/>
        <w:tabs>
          <w:tab w:val="right" w:leader="dot" w:pos="8296"/>
        </w:tabs>
        <w:ind w:left="640"/>
        <w:jc w:val="center"/>
        <w:rPr>
          <w:rFonts w:hint="eastAsia" w:eastAsia="楷体_GB2312"/>
          <w:sz w:val="32"/>
          <w:szCs w:val="32"/>
        </w:rPr>
      </w:pPr>
      <w:r>
        <w:rPr>
          <w:rFonts w:hint="eastAsia" w:eastAsia="楷体_GB2312"/>
          <w:sz w:val="32"/>
          <w:szCs w:val="32"/>
        </w:rPr>
        <w:fldChar w:fldCharType="begin"/>
      </w:r>
      <w:r>
        <w:rPr>
          <w:rStyle w:val="11"/>
          <w:rFonts w:hint="eastAsia" w:eastAsia="楷体_GB2312"/>
          <w:sz w:val="32"/>
          <w:szCs w:val="32"/>
        </w:rPr>
        <w:instrText xml:space="preserve"> </w:instrText>
      </w:r>
      <w:r>
        <w:rPr>
          <w:rFonts w:hint="eastAsia" w:eastAsia="楷体_GB2312"/>
          <w:sz w:val="32"/>
          <w:szCs w:val="32"/>
        </w:rPr>
        <w:instrText xml:space="preserve">HYPERLINK \l "_Toc89090217"</w:instrText>
      </w:r>
      <w:r>
        <w:rPr>
          <w:rStyle w:val="11"/>
          <w:rFonts w:hint="eastAsia" w:eastAsia="楷体_GB2312"/>
          <w:sz w:val="32"/>
          <w:szCs w:val="32"/>
        </w:rPr>
        <w:instrText xml:space="preserve"> </w:instrText>
      </w:r>
      <w:r>
        <w:rPr>
          <w:rFonts w:hint="eastAsia" w:eastAsia="楷体_GB2312"/>
          <w:sz w:val="32"/>
          <w:szCs w:val="32"/>
        </w:rPr>
        <w:fldChar w:fldCharType="separate"/>
      </w:r>
      <w:r>
        <w:rPr>
          <w:rStyle w:val="11"/>
          <w:rFonts w:hint="eastAsia" w:eastAsia="楷体_GB2312"/>
          <w:sz w:val="32"/>
          <w:szCs w:val="32"/>
        </w:rPr>
        <w:t>一、基础研究加强应用计划</w:t>
      </w:r>
      <w:r>
        <w:rPr>
          <w:rFonts w:hint="eastAsia" w:eastAsia="楷体_GB2312"/>
          <w:sz w:val="32"/>
          <w:szCs w:val="32"/>
        </w:rPr>
        <w:tab/>
      </w:r>
      <w:r>
        <w:rPr>
          <w:rFonts w:hint="eastAsia" w:eastAsia="楷体_GB2312"/>
          <w:sz w:val="32"/>
          <w:szCs w:val="32"/>
        </w:rPr>
        <w:fldChar w:fldCharType="begin"/>
      </w:r>
      <w:r>
        <w:rPr>
          <w:rFonts w:hint="eastAsia" w:eastAsia="楷体_GB2312"/>
          <w:sz w:val="32"/>
          <w:szCs w:val="32"/>
        </w:rPr>
        <w:instrText xml:space="preserve"> PAGEREF _Toc89090217 \h </w:instrText>
      </w:r>
      <w:r>
        <w:rPr>
          <w:rFonts w:hint="eastAsia" w:eastAsia="楷体_GB2312"/>
          <w:sz w:val="32"/>
          <w:szCs w:val="32"/>
        </w:rPr>
        <w:fldChar w:fldCharType="separate"/>
      </w:r>
      <w:r>
        <w:rPr>
          <w:rFonts w:eastAsia="楷体_GB2312"/>
          <w:sz w:val="32"/>
          <w:szCs w:val="32"/>
        </w:rPr>
        <w:t>33</w:t>
      </w:r>
      <w:r>
        <w:rPr>
          <w:rFonts w:hint="eastAsia" w:eastAsia="楷体_GB2312"/>
          <w:sz w:val="32"/>
          <w:szCs w:val="32"/>
        </w:rPr>
        <w:fldChar w:fldCharType="end"/>
      </w:r>
      <w:r>
        <w:rPr>
          <w:rFonts w:hint="eastAsia" w:eastAsia="楷体_GB2312"/>
          <w:sz w:val="32"/>
          <w:szCs w:val="32"/>
        </w:rPr>
        <w:fldChar w:fldCharType="end"/>
      </w:r>
    </w:p>
    <w:p>
      <w:pPr>
        <w:pStyle w:val="8"/>
        <w:tabs>
          <w:tab w:val="right" w:leader="dot" w:pos="8296"/>
        </w:tabs>
        <w:ind w:left="640"/>
        <w:jc w:val="center"/>
        <w:rPr>
          <w:rFonts w:hint="eastAsia" w:eastAsia="楷体_GB2312"/>
          <w:sz w:val="32"/>
          <w:szCs w:val="32"/>
        </w:rPr>
      </w:pPr>
      <w:r>
        <w:rPr>
          <w:rFonts w:hint="eastAsia" w:eastAsia="楷体_GB2312"/>
          <w:sz w:val="32"/>
          <w:szCs w:val="32"/>
        </w:rPr>
        <w:fldChar w:fldCharType="begin"/>
      </w:r>
      <w:r>
        <w:rPr>
          <w:rStyle w:val="11"/>
          <w:rFonts w:hint="eastAsia" w:eastAsia="楷体_GB2312"/>
          <w:sz w:val="32"/>
          <w:szCs w:val="32"/>
        </w:rPr>
        <w:instrText xml:space="preserve"> </w:instrText>
      </w:r>
      <w:r>
        <w:rPr>
          <w:rFonts w:hint="eastAsia" w:eastAsia="楷体_GB2312"/>
          <w:sz w:val="32"/>
          <w:szCs w:val="32"/>
        </w:rPr>
        <w:instrText xml:space="preserve">HYPERLINK \l "_Toc89090220"</w:instrText>
      </w:r>
      <w:r>
        <w:rPr>
          <w:rStyle w:val="11"/>
          <w:rFonts w:hint="eastAsia" w:eastAsia="楷体_GB2312"/>
          <w:sz w:val="32"/>
          <w:szCs w:val="32"/>
        </w:rPr>
        <w:instrText xml:space="preserve"> </w:instrText>
      </w:r>
      <w:r>
        <w:rPr>
          <w:rFonts w:hint="eastAsia" w:eastAsia="楷体_GB2312"/>
          <w:sz w:val="32"/>
          <w:szCs w:val="32"/>
        </w:rPr>
        <w:fldChar w:fldCharType="separate"/>
      </w:r>
      <w:r>
        <w:rPr>
          <w:rStyle w:val="11"/>
          <w:rFonts w:hint="eastAsia" w:eastAsia="楷体_GB2312"/>
          <w:sz w:val="32"/>
          <w:szCs w:val="32"/>
        </w:rPr>
        <w:t>二、主导产业扩增提质计划</w:t>
      </w:r>
      <w:r>
        <w:rPr>
          <w:rFonts w:hint="eastAsia" w:eastAsia="楷体_GB2312"/>
          <w:sz w:val="32"/>
          <w:szCs w:val="32"/>
        </w:rPr>
        <w:tab/>
      </w:r>
      <w:r>
        <w:rPr>
          <w:rFonts w:hint="eastAsia" w:eastAsia="楷体_GB2312"/>
          <w:sz w:val="32"/>
          <w:szCs w:val="32"/>
        </w:rPr>
        <w:fldChar w:fldCharType="begin"/>
      </w:r>
      <w:r>
        <w:rPr>
          <w:rFonts w:hint="eastAsia" w:eastAsia="楷体_GB2312"/>
          <w:sz w:val="32"/>
          <w:szCs w:val="32"/>
        </w:rPr>
        <w:instrText xml:space="preserve"> PAGEREF _Toc89090220 \h </w:instrText>
      </w:r>
      <w:r>
        <w:rPr>
          <w:rFonts w:hint="eastAsia" w:eastAsia="楷体_GB2312"/>
          <w:sz w:val="32"/>
          <w:szCs w:val="32"/>
        </w:rPr>
        <w:fldChar w:fldCharType="separate"/>
      </w:r>
      <w:r>
        <w:rPr>
          <w:rFonts w:eastAsia="楷体_GB2312"/>
          <w:sz w:val="32"/>
          <w:szCs w:val="32"/>
        </w:rPr>
        <w:t>34</w:t>
      </w:r>
      <w:r>
        <w:rPr>
          <w:rFonts w:hint="eastAsia" w:eastAsia="楷体_GB2312"/>
          <w:sz w:val="32"/>
          <w:szCs w:val="32"/>
        </w:rPr>
        <w:fldChar w:fldCharType="end"/>
      </w:r>
      <w:r>
        <w:rPr>
          <w:rFonts w:hint="eastAsia" w:eastAsia="楷体_GB2312"/>
          <w:sz w:val="32"/>
          <w:szCs w:val="32"/>
        </w:rPr>
        <w:fldChar w:fldCharType="end"/>
      </w:r>
    </w:p>
    <w:p>
      <w:pPr>
        <w:pStyle w:val="8"/>
        <w:tabs>
          <w:tab w:val="right" w:leader="dot" w:pos="8296"/>
        </w:tabs>
        <w:ind w:left="640"/>
        <w:jc w:val="center"/>
        <w:rPr>
          <w:rFonts w:hint="eastAsia" w:eastAsia="楷体_GB2312"/>
          <w:sz w:val="32"/>
          <w:szCs w:val="32"/>
        </w:rPr>
      </w:pPr>
      <w:r>
        <w:rPr>
          <w:rFonts w:hint="eastAsia" w:eastAsia="楷体_GB2312"/>
          <w:sz w:val="32"/>
          <w:szCs w:val="32"/>
        </w:rPr>
        <w:fldChar w:fldCharType="begin"/>
      </w:r>
      <w:r>
        <w:rPr>
          <w:rStyle w:val="11"/>
          <w:rFonts w:hint="eastAsia" w:eastAsia="楷体_GB2312"/>
          <w:sz w:val="32"/>
          <w:szCs w:val="32"/>
        </w:rPr>
        <w:instrText xml:space="preserve"> </w:instrText>
      </w:r>
      <w:r>
        <w:rPr>
          <w:rFonts w:hint="eastAsia" w:eastAsia="楷体_GB2312"/>
          <w:sz w:val="32"/>
          <w:szCs w:val="32"/>
        </w:rPr>
        <w:instrText xml:space="preserve">HYPERLINK \l "_Toc89090223"</w:instrText>
      </w:r>
      <w:r>
        <w:rPr>
          <w:rStyle w:val="11"/>
          <w:rFonts w:hint="eastAsia" w:eastAsia="楷体_GB2312"/>
          <w:sz w:val="32"/>
          <w:szCs w:val="32"/>
        </w:rPr>
        <w:instrText xml:space="preserve"> </w:instrText>
      </w:r>
      <w:r>
        <w:rPr>
          <w:rFonts w:hint="eastAsia" w:eastAsia="楷体_GB2312"/>
          <w:sz w:val="32"/>
          <w:szCs w:val="32"/>
        </w:rPr>
        <w:fldChar w:fldCharType="separate"/>
      </w:r>
      <w:r>
        <w:rPr>
          <w:rStyle w:val="11"/>
          <w:rFonts w:hint="eastAsia" w:eastAsia="楷体_GB2312"/>
          <w:sz w:val="32"/>
          <w:szCs w:val="32"/>
        </w:rPr>
        <w:t>三、先导产业加速裂变计划</w:t>
      </w:r>
      <w:r>
        <w:rPr>
          <w:rFonts w:hint="eastAsia" w:eastAsia="楷体_GB2312"/>
          <w:sz w:val="32"/>
          <w:szCs w:val="32"/>
        </w:rPr>
        <w:tab/>
      </w:r>
      <w:r>
        <w:rPr>
          <w:rFonts w:hint="eastAsia" w:eastAsia="楷体_GB2312"/>
          <w:sz w:val="32"/>
          <w:szCs w:val="32"/>
        </w:rPr>
        <w:fldChar w:fldCharType="begin"/>
      </w:r>
      <w:r>
        <w:rPr>
          <w:rFonts w:hint="eastAsia" w:eastAsia="楷体_GB2312"/>
          <w:sz w:val="32"/>
          <w:szCs w:val="32"/>
        </w:rPr>
        <w:instrText xml:space="preserve"> PAGEREF _Toc89090223 \h </w:instrText>
      </w:r>
      <w:r>
        <w:rPr>
          <w:rFonts w:hint="eastAsia" w:eastAsia="楷体_GB2312"/>
          <w:sz w:val="32"/>
          <w:szCs w:val="32"/>
        </w:rPr>
        <w:fldChar w:fldCharType="separate"/>
      </w:r>
      <w:r>
        <w:rPr>
          <w:rFonts w:eastAsia="楷体_GB2312"/>
          <w:sz w:val="32"/>
          <w:szCs w:val="32"/>
        </w:rPr>
        <w:t>37</w:t>
      </w:r>
      <w:r>
        <w:rPr>
          <w:rFonts w:hint="eastAsia" w:eastAsia="楷体_GB2312"/>
          <w:sz w:val="32"/>
          <w:szCs w:val="32"/>
        </w:rPr>
        <w:fldChar w:fldCharType="end"/>
      </w:r>
      <w:r>
        <w:rPr>
          <w:rFonts w:hint="eastAsia" w:eastAsia="楷体_GB2312"/>
          <w:sz w:val="32"/>
          <w:szCs w:val="32"/>
        </w:rPr>
        <w:fldChar w:fldCharType="end"/>
      </w:r>
    </w:p>
    <w:p>
      <w:pPr>
        <w:pStyle w:val="8"/>
        <w:tabs>
          <w:tab w:val="right" w:leader="dot" w:pos="8296"/>
        </w:tabs>
        <w:ind w:left="640"/>
        <w:jc w:val="center"/>
        <w:rPr>
          <w:rFonts w:hint="eastAsia" w:eastAsia="楷体_GB2312"/>
          <w:sz w:val="32"/>
          <w:szCs w:val="32"/>
        </w:rPr>
      </w:pPr>
      <w:r>
        <w:rPr>
          <w:rFonts w:hint="eastAsia" w:eastAsia="楷体_GB2312"/>
          <w:sz w:val="32"/>
          <w:szCs w:val="32"/>
        </w:rPr>
        <w:fldChar w:fldCharType="begin"/>
      </w:r>
      <w:r>
        <w:rPr>
          <w:rStyle w:val="11"/>
          <w:rFonts w:hint="eastAsia" w:eastAsia="楷体_GB2312"/>
          <w:sz w:val="32"/>
          <w:szCs w:val="32"/>
        </w:rPr>
        <w:instrText xml:space="preserve"> </w:instrText>
      </w:r>
      <w:r>
        <w:rPr>
          <w:rFonts w:hint="eastAsia" w:eastAsia="楷体_GB2312"/>
          <w:sz w:val="32"/>
          <w:szCs w:val="32"/>
        </w:rPr>
        <w:instrText xml:space="preserve">HYPERLINK \l "_Toc89090227"</w:instrText>
      </w:r>
      <w:r>
        <w:rPr>
          <w:rStyle w:val="11"/>
          <w:rFonts w:hint="eastAsia" w:eastAsia="楷体_GB2312"/>
          <w:sz w:val="32"/>
          <w:szCs w:val="32"/>
        </w:rPr>
        <w:instrText xml:space="preserve"> </w:instrText>
      </w:r>
      <w:r>
        <w:rPr>
          <w:rFonts w:hint="eastAsia" w:eastAsia="楷体_GB2312"/>
          <w:sz w:val="32"/>
          <w:szCs w:val="32"/>
        </w:rPr>
        <w:fldChar w:fldCharType="separate"/>
      </w:r>
      <w:r>
        <w:rPr>
          <w:rFonts w:hint="eastAsia" w:eastAsia="楷体_GB2312"/>
          <w:sz w:val="32"/>
          <w:szCs w:val="32"/>
        </w:rPr>
        <w:t>四</w:t>
      </w:r>
      <w:r>
        <w:rPr>
          <w:rStyle w:val="11"/>
          <w:rFonts w:hint="eastAsia" w:eastAsia="楷体_GB2312"/>
          <w:sz w:val="32"/>
          <w:szCs w:val="32"/>
        </w:rPr>
        <w:t>、农业科技振兴发展计划</w:t>
      </w:r>
      <w:r>
        <w:rPr>
          <w:rFonts w:hint="eastAsia" w:eastAsia="楷体_GB2312"/>
          <w:sz w:val="32"/>
          <w:szCs w:val="32"/>
        </w:rPr>
        <w:tab/>
      </w:r>
      <w:r>
        <w:rPr>
          <w:rFonts w:hint="eastAsia" w:eastAsia="楷体_GB2312"/>
          <w:sz w:val="32"/>
          <w:szCs w:val="32"/>
        </w:rPr>
        <w:fldChar w:fldCharType="begin"/>
      </w:r>
      <w:r>
        <w:rPr>
          <w:rFonts w:hint="eastAsia" w:eastAsia="楷体_GB2312"/>
          <w:sz w:val="32"/>
          <w:szCs w:val="32"/>
        </w:rPr>
        <w:instrText xml:space="preserve"> PAGEREF _Toc89090227 \h </w:instrText>
      </w:r>
      <w:r>
        <w:rPr>
          <w:rFonts w:hint="eastAsia" w:eastAsia="楷体_GB2312"/>
          <w:sz w:val="32"/>
          <w:szCs w:val="32"/>
        </w:rPr>
        <w:fldChar w:fldCharType="separate"/>
      </w:r>
      <w:r>
        <w:rPr>
          <w:rFonts w:eastAsia="楷体_GB2312"/>
          <w:sz w:val="32"/>
          <w:szCs w:val="32"/>
        </w:rPr>
        <w:t>41</w:t>
      </w:r>
      <w:r>
        <w:rPr>
          <w:rFonts w:hint="eastAsia" w:eastAsia="楷体_GB2312"/>
          <w:sz w:val="32"/>
          <w:szCs w:val="32"/>
        </w:rPr>
        <w:fldChar w:fldCharType="end"/>
      </w:r>
      <w:r>
        <w:rPr>
          <w:rFonts w:hint="eastAsia" w:eastAsia="楷体_GB2312"/>
          <w:sz w:val="32"/>
          <w:szCs w:val="32"/>
        </w:rPr>
        <w:fldChar w:fldCharType="end"/>
      </w:r>
    </w:p>
    <w:p>
      <w:pPr>
        <w:pStyle w:val="6"/>
        <w:tabs>
          <w:tab w:val="right" w:leader="dot" w:pos="8296"/>
        </w:tabs>
        <w:jc w:val="center"/>
        <w:rPr>
          <w:rFonts w:hint="eastAsia" w:eastAsia="黑体"/>
          <w:sz w:val="32"/>
          <w:szCs w:val="32"/>
        </w:rPr>
      </w:pPr>
      <w:r>
        <w:rPr>
          <w:rFonts w:hint="eastAsia" w:eastAsia="黑体"/>
          <w:sz w:val="32"/>
          <w:szCs w:val="32"/>
        </w:rPr>
        <w:fldChar w:fldCharType="begin"/>
      </w:r>
      <w:r>
        <w:rPr>
          <w:rStyle w:val="11"/>
          <w:rFonts w:hint="eastAsia" w:eastAsia="黑体"/>
          <w:sz w:val="32"/>
          <w:szCs w:val="32"/>
        </w:rPr>
        <w:instrText xml:space="preserve"> </w:instrText>
      </w:r>
      <w:r>
        <w:rPr>
          <w:rFonts w:hint="eastAsia" w:eastAsia="黑体"/>
          <w:sz w:val="32"/>
          <w:szCs w:val="32"/>
        </w:rPr>
        <w:instrText xml:space="preserve">HYPERLINK \l "_Toc89090234"</w:instrText>
      </w:r>
      <w:r>
        <w:rPr>
          <w:rStyle w:val="11"/>
          <w:rFonts w:hint="eastAsia" w:eastAsia="黑体"/>
          <w:sz w:val="32"/>
          <w:szCs w:val="32"/>
        </w:rPr>
        <w:instrText xml:space="preserve"> </w:instrText>
      </w:r>
      <w:r>
        <w:rPr>
          <w:rFonts w:hint="eastAsia" w:eastAsia="黑体"/>
          <w:sz w:val="32"/>
          <w:szCs w:val="32"/>
        </w:rPr>
        <w:fldChar w:fldCharType="separate"/>
      </w:r>
      <w:r>
        <w:rPr>
          <w:rStyle w:val="11"/>
          <w:rFonts w:hint="eastAsia" w:eastAsia="黑体"/>
          <w:sz w:val="32"/>
          <w:szCs w:val="32"/>
        </w:rPr>
        <w:t>第六章 强化组织保障，确保规划实施见成效</w:t>
      </w:r>
      <w:r>
        <w:rPr>
          <w:rFonts w:hint="eastAsia" w:eastAsia="黑体"/>
          <w:sz w:val="32"/>
          <w:szCs w:val="32"/>
        </w:rPr>
        <w:tab/>
      </w:r>
      <w:r>
        <w:rPr>
          <w:rFonts w:hint="eastAsia" w:eastAsia="黑体"/>
          <w:sz w:val="32"/>
          <w:szCs w:val="32"/>
        </w:rPr>
        <w:fldChar w:fldCharType="begin"/>
      </w:r>
      <w:r>
        <w:rPr>
          <w:rFonts w:hint="eastAsia" w:eastAsia="黑体"/>
          <w:sz w:val="32"/>
          <w:szCs w:val="32"/>
        </w:rPr>
        <w:instrText xml:space="preserve"> PAGEREF _Toc89090234 \h </w:instrText>
      </w:r>
      <w:r>
        <w:rPr>
          <w:rFonts w:hint="eastAsia" w:eastAsia="黑体"/>
          <w:sz w:val="32"/>
          <w:szCs w:val="32"/>
        </w:rPr>
        <w:fldChar w:fldCharType="separate"/>
      </w:r>
      <w:r>
        <w:rPr>
          <w:rFonts w:eastAsia="黑体"/>
          <w:sz w:val="32"/>
          <w:szCs w:val="32"/>
        </w:rPr>
        <w:t>44</w:t>
      </w:r>
      <w:r>
        <w:rPr>
          <w:rFonts w:hint="eastAsia" w:eastAsia="黑体"/>
          <w:sz w:val="32"/>
          <w:szCs w:val="32"/>
        </w:rPr>
        <w:fldChar w:fldCharType="end"/>
      </w:r>
      <w:r>
        <w:rPr>
          <w:rFonts w:hint="eastAsia" w:eastAsia="黑体"/>
          <w:sz w:val="32"/>
          <w:szCs w:val="32"/>
        </w:rPr>
        <w:fldChar w:fldCharType="end"/>
      </w:r>
    </w:p>
    <w:p>
      <w:pPr>
        <w:pStyle w:val="8"/>
        <w:tabs>
          <w:tab w:val="right" w:leader="dot" w:pos="8296"/>
        </w:tabs>
        <w:ind w:left="640"/>
        <w:jc w:val="center"/>
        <w:rPr>
          <w:rFonts w:hint="eastAsia" w:eastAsia="楷体_GB2312"/>
          <w:sz w:val="32"/>
          <w:szCs w:val="32"/>
        </w:rPr>
      </w:pPr>
      <w:r>
        <w:rPr>
          <w:rFonts w:hint="eastAsia" w:eastAsia="楷体_GB2312"/>
          <w:sz w:val="32"/>
          <w:szCs w:val="32"/>
        </w:rPr>
        <w:fldChar w:fldCharType="begin"/>
      </w:r>
      <w:r>
        <w:rPr>
          <w:rStyle w:val="11"/>
          <w:rFonts w:hint="eastAsia" w:eastAsia="楷体_GB2312"/>
          <w:sz w:val="32"/>
          <w:szCs w:val="32"/>
        </w:rPr>
        <w:instrText xml:space="preserve"> </w:instrText>
      </w:r>
      <w:r>
        <w:rPr>
          <w:rFonts w:hint="eastAsia" w:eastAsia="楷体_GB2312"/>
          <w:sz w:val="32"/>
          <w:szCs w:val="32"/>
        </w:rPr>
        <w:instrText xml:space="preserve">HYPERLINK \l "_Toc89090235"</w:instrText>
      </w:r>
      <w:r>
        <w:rPr>
          <w:rStyle w:val="11"/>
          <w:rFonts w:hint="eastAsia" w:eastAsia="楷体_GB2312"/>
          <w:sz w:val="32"/>
          <w:szCs w:val="32"/>
        </w:rPr>
        <w:instrText xml:space="preserve"> </w:instrText>
      </w:r>
      <w:r>
        <w:rPr>
          <w:rFonts w:hint="eastAsia" w:eastAsia="楷体_GB2312"/>
          <w:sz w:val="32"/>
          <w:szCs w:val="32"/>
        </w:rPr>
        <w:fldChar w:fldCharType="separate"/>
      </w:r>
      <w:r>
        <w:rPr>
          <w:rStyle w:val="11"/>
          <w:rFonts w:hint="eastAsia" w:eastAsia="楷体_GB2312"/>
          <w:sz w:val="32"/>
          <w:szCs w:val="32"/>
        </w:rPr>
        <w:t>一、加强组织领导</w:t>
      </w:r>
      <w:r>
        <w:rPr>
          <w:rFonts w:hint="eastAsia" w:eastAsia="楷体_GB2312"/>
          <w:sz w:val="32"/>
          <w:szCs w:val="32"/>
        </w:rPr>
        <w:tab/>
      </w:r>
      <w:r>
        <w:rPr>
          <w:rFonts w:hint="eastAsia" w:eastAsia="楷体_GB2312"/>
          <w:sz w:val="32"/>
          <w:szCs w:val="32"/>
        </w:rPr>
        <w:fldChar w:fldCharType="begin"/>
      </w:r>
      <w:r>
        <w:rPr>
          <w:rFonts w:hint="eastAsia" w:eastAsia="楷体_GB2312"/>
          <w:sz w:val="32"/>
          <w:szCs w:val="32"/>
        </w:rPr>
        <w:instrText xml:space="preserve"> PAGEREF _Toc89090235 \h </w:instrText>
      </w:r>
      <w:r>
        <w:rPr>
          <w:rFonts w:hint="eastAsia" w:eastAsia="楷体_GB2312"/>
          <w:sz w:val="32"/>
          <w:szCs w:val="32"/>
        </w:rPr>
        <w:fldChar w:fldCharType="separate"/>
      </w:r>
      <w:r>
        <w:rPr>
          <w:rFonts w:eastAsia="楷体_GB2312"/>
          <w:sz w:val="32"/>
          <w:szCs w:val="32"/>
        </w:rPr>
        <w:t>44</w:t>
      </w:r>
      <w:r>
        <w:rPr>
          <w:rFonts w:hint="eastAsia" w:eastAsia="楷体_GB2312"/>
          <w:sz w:val="32"/>
          <w:szCs w:val="32"/>
        </w:rPr>
        <w:fldChar w:fldCharType="end"/>
      </w:r>
      <w:r>
        <w:rPr>
          <w:rFonts w:hint="eastAsia" w:eastAsia="楷体_GB2312"/>
          <w:sz w:val="32"/>
          <w:szCs w:val="32"/>
        </w:rPr>
        <w:fldChar w:fldCharType="end"/>
      </w:r>
    </w:p>
    <w:p>
      <w:pPr>
        <w:pStyle w:val="8"/>
        <w:tabs>
          <w:tab w:val="right" w:leader="dot" w:pos="8296"/>
        </w:tabs>
        <w:ind w:left="640"/>
        <w:jc w:val="center"/>
        <w:rPr>
          <w:rFonts w:hint="eastAsia" w:eastAsia="楷体_GB2312"/>
          <w:sz w:val="32"/>
          <w:szCs w:val="32"/>
        </w:rPr>
      </w:pPr>
      <w:r>
        <w:rPr>
          <w:rFonts w:hint="eastAsia" w:eastAsia="楷体_GB2312"/>
          <w:sz w:val="32"/>
          <w:szCs w:val="32"/>
        </w:rPr>
        <w:fldChar w:fldCharType="begin"/>
      </w:r>
      <w:r>
        <w:rPr>
          <w:rStyle w:val="11"/>
          <w:rFonts w:hint="eastAsia" w:eastAsia="楷体_GB2312"/>
          <w:sz w:val="32"/>
          <w:szCs w:val="32"/>
        </w:rPr>
        <w:instrText xml:space="preserve"> </w:instrText>
      </w:r>
      <w:r>
        <w:rPr>
          <w:rFonts w:hint="eastAsia" w:eastAsia="楷体_GB2312"/>
          <w:sz w:val="32"/>
          <w:szCs w:val="32"/>
        </w:rPr>
        <w:instrText xml:space="preserve">HYPERLINK \l "_Toc89090236"</w:instrText>
      </w:r>
      <w:r>
        <w:rPr>
          <w:rStyle w:val="11"/>
          <w:rFonts w:hint="eastAsia" w:eastAsia="楷体_GB2312"/>
          <w:sz w:val="32"/>
          <w:szCs w:val="32"/>
        </w:rPr>
        <w:instrText xml:space="preserve"> </w:instrText>
      </w:r>
      <w:r>
        <w:rPr>
          <w:rFonts w:hint="eastAsia" w:eastAsia="楷体_GB2312"/>
          <w:sz w:val="32"/>
          <w:szCs w:val="32"/>
        </w:rPr>
        <w:fldChar w:fldCharType="separate"/>
      </w:r>
      <w:r>
        <w:rPr>
          <w:rStyle w:val="11"/>
          <w:rFonts w:hint="eastAsia" w:eastAsia="楷体_GB2312"/>
          <w:sz w:val="32"/>
          <w:szCs w:val="32"/>
        </w:rPr>
        <w:t>二、加强科技投入</w:t>
      </w:r>
      <w:r>
        <w:rPr>
          <w:rFonts w:hint="eastAsia" w:eastAsia="楷体_GB2312"/>
          <w:sz w:val="32"/>
          <w:szCs w:val="32"/>
        </w:rPr>
        <w:tab/>
      </w:r>
      <w:r>
        <w:rPr>
          <w:rFonts w:hint="eastAsia" w:eastAsia="楷体_GB2312"/>
          <w:sz w:val="32"/>
          <w:szCs w:val="32"/>
        </w:rPr>
        <w:fldChar w:fldCharType="begin"/>
      </w:r>
      <w:r>
        <w:rPr>
          <w:rFonts w:hint="eastAsia" w:eastAsia="楷体_GB2312"/>
          <w:sz w:val="32"/>
          <w:szCs w:val="32"/>
        </w:rPr>
        <w:instrText xml:space="preserve"> PAGEREF _Toc89090236 \h </w:instrText>
      </w:r>
      <w:r>
        <w:rPr>
          <w:rFonts w:hint="eastAsia" w:eastAsia="楷体_GB2312"/>
          <w:sz w:val="32"/>
          <w:szCs w:val="32"/>
        </w:rPr>
        <w:fldChar w:fldCharType="separate"/>
      </w:r>
      <w:r>
        <w:rPr>
          <w:rFonts w:eastAsia="楷体_GB2312"/>
          <w:sz w:val="32"/>
          <w:szCs w:val="32"/>
        </w:rPr>
        <w:t>44</w:t>
      </w:r>
      <w:r>
        <w:rPr>
          <w:rFonts w:hint="eastAsia" w:eastAsia="楷体_GB2312"/>
          <w:sz w:val="32"/>
          <w:szCs w:val="32"/>
        </w:rPr>
        <w:fldChar w:fldCharType="end"/>
      </w:r>
      <w:r>
        <w:rPr>
          <w:rFonts w:hint="eastAsia" w:eastAsia="楷体_GB2312"/>
          <w:sz w:val="32"/>
          <w:szCs w:val="32"/>
        </w:rPr>
        <w:fldChar w:fldCharType="end"/>
      </w:r>
    </w:p>
    <w:p>
      <w:pPr>
        <w:pStyle w:val="8"/>
        <w:tabs>
          <w:tab w:val="right" w:leader="dot" w:pos="8296"/>
        </w:tabs>
        <w:ind w:left="640"/>
        <w:jc w:val="center"/>
        <w:rPr>
          <w:rFonts w:hint="eastAsia" w:eastAsia="楷体_GB2312"/>
          <w:sz w:val="32"/>
          <w:szCs w:val="32"/>
        </w:rPr>
      </w:pPr>
      <w:r>
        <w:rPr>
          <w:rFonts w:hint="eastAsia" w:eastAsia="楷体_GB2312"/>
          <w:sz w:val="32"/>
          <w:szCs w:val="32"/>
        </w:rPr>
        <w:fldChar w:fldCharType="begin"/>
      </w:r>
      <w:r>
        <w:rPr>
          <w:rStyle w:val="11"/>
          <w:rFonts w:hint="eastAsia" w:eastAsia="楷体_GB2312"/>
          <w:sz w:val="32"/>
          <w:szCs w:val="32"/>
        </w:rPr>
        <w:instrText xml:space="preserve"> </w:instrText>
      </w:r>
      <w:r>
        <w:rPr>
          <w:rFonts w:hint="eastAsia" w:eastAsia="楷体_GB2312"/>
          <w:sz w:val="32"/>
          <w:szCs w:val="32"/>
        </w:rPr>
        <w:instrText xml:space="preserve">HYPERLINK \l "_Toc89090237"</w:instrText>
      </w:r>
      <w:r>
        <w:rPr>
          <w:rStyle w:val="11"/>
          <w:rFonts w:hint="eastAsia" w:eastAsia="楷体_GB2312"/>
          <w:sz w:val="32"/>
          <w:szCs w:val="32"/>
        </w:rPr>
        <w:instrText xml:space="preserve"> </w:instrText>
      </w:r>
      <w:r>
        <w:rPr>
          <w:rFonts w:hint="eastAsia" w:eastAsia="楷体_GB2312"/>
          <w:sz w:val="32"/>
          <w:szCs w:val="32"/>
        </w:rPr>
        <w:fldChar w:fldCharType="separate"/>
      </w:r>
      <w:r>
        <w:rPr>
          <w:rStyle w:val="11"/>
          <w:rFonts w:hint="eastAsia" w:eastAsia="楷体_GB2312"/>
          <w:sz w:val="32"/>
          <w:szCs w:val="32"/>
        </w:rPr>
        <w:t>三、强化政策保障</w:t>
      </w:r>
      <w:r>
        <w:rPr>
          <w:rFonts w:hint="eastAsia" w:eastAsia="楷体_GB2312"/>
          <w:sz w:val="32"/>
          <w:szCs w:val="32"/>
        </w:rPr>
        <w:tab/>
      </w:r>
      <w:r>
        <w:rPr>
          <w:rFonts w:hint="eastAsia" w:eastAsia="楷体_GB2312"/>
          <w:sz w:val="32"/>
          <w:szCs w:val="32"/>
        </w:rPr>
        <w:fldChar w:fldCharType="begin"/>
      </w:r>
      <w:r>
        <w:rPr>
          <w:rFonts w:hint="eastAsia" w:eastAsia="楷体_GB2312"/>
          <w:sz w:val="32"/>
          <w:szCs w:val="32"/>
        </w:rPr>
        <w:instrText xml:space="preserve"> PAGEREF _Toc89090237 \h </w:instrText>
      </w:r>
      <w:r>
        <w:rPr>
          <w:rFonts w:hint="eastAsia" w:eastAsia="楷体_GB2312"/>
          <w:sz w:val="32"/>
          <w:szCs w:val="32"/>
        </w:rPr>
        <w:fldChar w:fldCharType="separate"/>
      </w:r>
      <w:r>
        <w:rPr>
          <w:rFonts w:eastAsia="楷体_GB2312"/>
          <w:sz w:val="32"/>
          <w:szCs w:val="32"/>
        </w:rPr>
        <w:t>44</w:t>
      </w:r>
      <w:r>
        <w:rPr>
          <w:rFonts w:hint="eastAsia" w:eastAsia="楷体_GB2312"/>
          <w:sz w:val="32"/>
          <w:szCs w:val="32"/>
        </w:rPr>
        <w:fldChar w:fldCharType="end"/>
      </w:r>
      <w:r>
        <w:rPr>
          <w:rFonts w:hint="eastAsia" w:eastAsia="楷体_GB2312"/>
          <w:sz w:val="32"/>
          <w:szCs w:val="32"/>
        </w:rPr>
        <w:fldChar w:fldCharType="end"/>
      </w:r>
    </w:p>
    <w:p>
      <w:pPr>
        <w:pStyle w:val="8"/>
        <w:tabs>
          <w:tab w:val="right" w:leader="dot" w:pos="8296"/>
        </w:tabs>
        <w:ind w:left="640"/>
        <w:jc w:val="center"/>
        <w:rPr>
          <w:rFonts w:hint="eastAsia" w:eastAsia="楷体_GB2312"/>
          <w:sz w:val="32"/>
          <w:szCs w:val="32"/>
        </w:rPr>
      </w:pPr>
      <w:r>
        <w:rPr>
          <w:rFonts w:hint="eastAsia" w:eastAsia="楷体_GB2312"/>
          <w:sz w:val="32"/>
          <w:szCs w:val="32"/>
        </w:rPr>
        <w:fldChar w:fldCharType="begin"/>
      </w:r>
      <w:r>
        <w:rPr>
          <w:rStyle w:val="11"/>
          <w:rFonts w:hint="eastAsia" w:eastAsia="楷体_GB2312"/>
          <w:sz w:val="32"/>
          <w:szCs w:val="32"/>
        </w:rPr>
        <w:instrText xml:space="preserve"> </w:instrText>
      </w:r>
      <w:r>
        <w:rPr>
          <w:rFonts w:hint="eastAsia" w:eastAsia="楷体_GB2312"/>
          <w:sz w:val="32"/>
          <w:szCs w:val="32"/>
        </w:rPr>
        <w:instrText xml:space="preserve">HYPERLINK \l "_Toc89090238"</w:instrText>
      </w:r>
      <w:r>
        <w:rPr>
          <w:rStyle w:val="11"/>
          <w:rFonts w:hint="eastAsia" w:eastAsia="楷体_GB2312"/>
          <w:sz w:val="32"/>
          <w:szCs w:val="32"/>
        </w:rPr>
        <w:instrText xml:space="preserve"> </w:instrText>
      </w:r>
      <w:r>
        <w:rPr>
          <w:rFonts w:hint="eastAsia" w:eastAsia="楷体_GB2312"/>
          <w:sz w:val="32"/>
          <w:szCs w:val="32"/>
        </w:rPr>
        <w:fldChar w:fldCharType="separate"/>
      </w:r>
      <w:r>
        <w:rPr>
          <w:rStyle w:val="11"/>
          <w:rFonts w:hint="eastAsia" w:eastAsia="楷体_GB2312"/>
          <w:sz w:val="32"/>
          <w:szCs w:val="32"/>
        </w:rPr>
        <w:t>四、推进实施协调</w:t>
      </w:r>
      <w:r>
        <w:rPr>
          <w:rFonts w:hint="eastAsia" w:eastAsia="楷体_GB2312"/>
          <w:sz w:val="32"/>
          <w:szCs w:val="32"/>
        </w:rPr>
        <w:tab/>
      </w:r>
      <w:r>
        <w:rPr>
          <w:rFonts w:hint="eastAsia" w:eastAsia="楷体_GB2312"/>
          <w:sz w:val="32"/>
          <w:szCs w:val="32"/>
        </w:rPr>
        <w:fldChar w:fldCharType="begin"/>
      </w:r>
      <w:r>
        <w:rPr>
          <w:rFonts w:hint="eastAsia" w:eastAsia="楷体_GB2312"/>
          <w:sz w:val="32"/>
          <w:szCs w:val="32"/>
        </w:rPr>
        <w:instrText xml:space="preserve"> PAGEREF _Toc89090238 \h </w:instrText>
      </w:r>
      <w:r>
        <w:rPr>
          <w:rFonts w:hint="eastAsia" w:eastAsia="楷体_GB2312"/>
          <w:sz w:val="32"/>
          <w:szCs w:val="32"/>
        </w:rPr>
        <w:fldChar w:fldCharType="separate"/>
      </w:r>
      <w:r>
        <w:rPr>
          <w:rFonts w:eastAsia="楷体_GB2312"/>
          <w:sz w:val="32"/>
          <w:szCs w:val="32"/>
        </w:rPr>
        <w:t>45</w:t>
      </w:r>
      <w:r>
        <w:rPr>
          <w:rFonts w:hint="eastAsia" w:eastAsia="楷体_GB2312"/>
          <w:sz w:val="32"/>
          <w:szCs w:val="32"/>
        </w:rPr>
        <w:fldChar w:fldCharType="end"/>
      </w:r>
      <w:r>
        <w:rPr>
          <w:rFonts w:hint="eastAsia" w:eastAsia="楷体_GB2312"/>
          <w:sz w:val="32"/>
          <w:szCs w:val="32"/>
        </w:rPr>
        <w:fldChar w:fldCharType="end"/>
      </w:r>
    </w:p>
    <w:p>
      <w:pPr>
        <w:pStyle w:val="8"/>
        <w:tabs>
          <w:tab w:val="right" w:leader="dot" w:pos="8296"/>
        </w:tabs>
        <w:ind w:left="640"/>
        <w:jc w:val="center"/>
        <w:rPr>
          <w:rFonts w:hint="eastAsia" w:eastAsia="楷体_GB2312"/>
          <w:sz w:val="32"/>
          <w:szCs w:val="32"/>
        </w:rPr>
      </w:pPr>
      <w:r>
        <w:rPr>
          <w:rFonts w:hint="eastAsia" w:eastAsia="楷体_GB2312"/>
          <w:sz w:val="32"/>
          <w:szCs w:val="32"/>
        </w:rPr>
        <w:fldChar w:fldCharType="begin"/>
      </w:r>
      <w:r>
        <w:rPr>
          <w:rStyle w:val="11"/>
          <w:rFonts w:hint="eastAsia" w:eastAsia="楷体_GB2312"/>
          <w:sz w:val="32"/>
          <w:szCs w:val="32"/>
        </w:rPr>
        <w:instrText xml:space="preserve"> </w:instrText>
      </w:r>
      <w:r>
        <w:rPr>
          <w:rFonts w:hint="eastAsia" w:eastAsia="楷体_GB2312"/>
          <w:sz w:val="32"/>
          <w:szCs w:val="32"/>
        </w:rPr>
        <w:instrText xml:space="preserve">HYPERLINK \l "_Toc89090239"</w:instrText>
      </w:r>
      <w:r>
        <w:rPr>
          <w:rStyle w:val="11"/>
          <w:rFonts w:hint="eastAsia" w:eastAsia="楷体_GB2312"/>
          <w:sz w:val="32"/>
          <w:szCs w:val="32"/>
        </w:rPr>
        <w:instrText xml:space="preserve"> </w:instrText>
      </w:r>
      <w:r>
        <w:rPr>
          <w:rFonts w:hint="eastAsia" w:eastAsia="楷体_GB2312"/>
          <w:sz w:val="32"/>
          <w:szCs w:val="32"/>
        </w:rPr>
        <w:fldChar w:fldCharType="separate"/>
      </w:r>
      <w:r>
        <w:rPr>
          <w:rStyle w:val="11"/>
          <w:rFonts w:hint="eastAsia" w:eastAsia="楷体_GB2312"/>
          <w:sz w:val="32"/>
          <w:szCs w:val="32"/>
        </w:rPr>
        <w:t>五、优化创新环境</w:t>
      </w:r>
      <w:r>
        <w:rPr>
          <w:rFonts w:hint="eastAsia" w:eastAsia="楷体_GB2312"/>
          <w:sz w:val="32"/>
          <w:szCs w:val="32"/>
        </w:rPr>
        <w:tab/>
      </w:r>
      <w:r>
        <w:rPr>
          <w:rFonts w:hint="eastAsia" w:eastAsia="楷体_GB2312"/>
          <w:sz w:val="32"/>
          <w:szCs w:val="32"/>
        </w:rPr>
        <w:fldChar w:fldCharType="begin"/>
      </w:r>
      <w:r>
        <w:rPr>
          <w:rFonts w:hint="eastAsia" w:eastAsia="楷体_GB2312"/>
          <w:sz w:val="32"/>
          <w:szCs w:val="32"/>
        </w:rPr>
        <w:instrText xml:space="preserve"> PAGEREF _Toc89090239 \h </w:instrText>
      </w:r>
      <w:r>
        <w:rPr>
          <w:rFonts w:hint="eastAsia" w:eastAsia="楷体_GB2312"/>
          <w:sz w:val="32"/>
          <w:szCs w:val="32"/>
        </w:rPr>
        <w:fldChar w:fldCharType="separate"/>
      </w:r>
      <w:r>
        <w:rPr>
          <w:rFonts w:eastAsia="楷体_GB2312"/>
          <w:sz w:val="32"/>
          <w:szCs w:val="32"/>
        </w:rPr>
        <w:t>45</w:t>
      </w:r>
      <w:r>
        <w:rPr>
          <w:rFonts w:hint="eastAsia" w:eastAsia="楷体_GB2312"/>
          <w:sz w:val="32"/>
          <w:szCs w:val="32"/>
        </w:rPr>
        <w:fldChar w:fldCharType="end"/>
      </w:r>
      <w:r>
        <w:rPr>
          <w:rFonts w:hint="eastAsia" w:eastAsia="楷体_GB2312"/>
          <w:sz w:val="32"/>
          <w:szCs w:val="32"/>
        </w:rPr>
        <w:fldChar w:fldCharType="end"/>
      </w:r>
    </w:p>
    <w:p>
      <w:pPr>
        <w:jc w:val="center"/>
        <w:rPr>
          <w:rFonts w:hint="eastAsia" w:ascii="Times New Roman"/>
        </w:rPr>
      </w:pPr>
      <w:r>
        <w:rPr>
          <w:rFonts w:hint="eastAsia" w:ascii="Times New Roman" w:eastAsia="楷体_GB2312"/>
          <w:szCs w:val="32"/>
        </w:rPr>
        <w:fldChar w:fldCharType="end"/>
      </w:r>
    </w:p>
    <w:bookmarkEnd w:id="0"/>
    <w:p>
      <w:pPr>
        <w:spacing w:line="590" w:lineRule="exact"/>
        <w:rPr>
          <w:rFonts w:ascii="Times New Roman" w:eastAsia="方正小标宋_GBK"/>
          <w:sz w:val="44"/>
          <w:szCs w:val="44"/>
        </w:rPr>
      </w:pPr>
    </w:p>
    <w:p>
      <w:pPr>
        <w:spacing w:line="590" w:lineRule="exact"/>
        <w:ind w:left="402"/>
        <w:jc w:val="center"/>
        <w:rPr>
          <w:rFonts w:ascii="Times New Roman" w:eastAsia="方正小标宋_GBK"/>
          <w:sz w:val="44"/>
          <w:szCs w:val="44"/>
        </w:rPr>
      </w:pPr>
    </w:p>
    <w:p>
      <w:pPr>
        <w:spacing w:line="590" w:lineRule="exact"/>
        <w:ind w:left="402"/>
        <w:jc w:val="center"/>
        <w:rPr>
          <w:rFonts w:ascii="Times New Roman" w:eastAsia="方正小标宋_GBK"/>
          <w:sz w:val="44"/>
          <w:szCs w:val="44"/>
        </w:rPr>
      </w:pPr>
    </w:p>
    <w:p>
      <w:pPr>
        <w:spacing w:line="590" w:lineRule="exact"/>
        <w:ind w:left="402"/>
        <w:jc w:val="center"/>
        <w:rPr>
          <w:rFonts w:ascii="Times New Roman" w:eastAsia="方正小标宋_GBK"/>
          <w:sz w:val="44"/>
          <w:szCs w:val="44"/>
        </w:rPr>
      </w:pPr>
    </w:p>
    <w:p>
      <w:pPr>
        <w:spacing w:line="590" w:lineRule="exact"/>
        <w:ind w:left="402"/>
        <w:jc w:val="center"/>
        <w:rPr>
          <w:rFonts w:ascii="Times New Roman" w:eastAsia="方正小标宋_GBK"/>
          <w:sz w:val="44"/>
          <w:szCs w:val="44"/>
        </w:rPr>
      </w:pPr>
    </w:p>
    <w:p>
      <w:pPr>
        <w:spacing w:line="590" w:lineRule="exact"/>
        <w:ind w:left="402"/>
        <w:jc w:val="center"/>
        <w:rPr>
          <w:rFonts w:ascii="Times New Roman" w:eastAsia="方正小标宋_GBK"/>
          <w:sz w:val="44"/>
          <w:szCs w:val="44"/>
        </w:rPr>
      </w:pPr>
    </w:p>
    <w:p>
      <w:pPr>
        <w:spacing w:line="590" w:lineRule="exact"/>
        <w:rPr>
          <w:rFonts w:ascii="Times New Roman" w:eastAsia="方正小标宋_GBK"/>
          <w:sz w:val="44"/>
          <w:szCs w:val="44"/>
        </w:rPr>
      </w:pPr>
    </w:p>
    <w:p>
      <w:pPr>
        <w:spacing w:line="590" w:lineRule="exact"/>
        <w:ind w:left="402"/>
        <w:jc w:val="center"/>
        <w:rPr>
          <w:rFonts w:ascii="Times New Roman" w:eastAsia="方正小标宋_GBK"/>
          <w:sz w:val="44"/>
          <w:szCs w:val="44"/>
        </w:rPr>
        <w:sectPr>
          <w:footerReference r:id="rId5" w:type="default"/>
          <w:pgSz w:w="11906" w:h="16838"/>
          <w:pgMar w:top="2041" w:right="1474" w:bottom="1928" w:left="1474" w:header="851" w:footer="992" w:gutter="0"/>
          <w:pgNumType w:start="1"/>
          <w:cols w:space="720" w:num="1"/>
          <w:docGrid w:type="lines" w:linePitch="312" w:charSpace="0"/>
        </w:sectPr>
      </w:pPr>
    </w:p>
    <w:p>
      <w:pPr>
        <w:pStyle w:val="14"/>
        <w:rPr>
          <w:rFonts w:ascii="Times New Roman"/>
        </w:rPr>
      </w:pPr>
      <w:bookmarkStart w:id="1" w:name="_Toc21639_WPSOffice_Level1"/>
      <w:bookmarkStart w:id="2" w:name="_Toc2313_WPSOffice_Level1"/>
      <w:r>
        <w:rPr>
          <w:rFonts w:ascii="Times New Roman"/>
        </w:rPr>
        <w:t>前  言</w:t>
      </w:r>
      <w:bookmarkEnd w:id="1"/>
    </w:p>
    <w:p>
      <w:pPr>
        <w:widowControl/>
        <w:spacing w:line="560" w:lineRule="exact"/>
        <w:ind w:firstLine="640" w:firstLineChars="200"/>
        <w:jc w:val="left"/>
        <w:rPr>
          <w:rFonts w:ascii="Times New Roman" w:eastAsia="方正仿宋_GBK"/>
          <w:szCs w:val="32"/>
        </w:rPr>
      </w:pPr>
    </w:p>
    <w:p>
      <w:pPr>
        <w:pStyle w:val="15"/>
        <w:rPr>
          <w:rFonts w:hint="eastAsia"/>
        </w:rPr>
      </w:pPr>
      <w:r>
        <w:rPr>
          <w:rFonts w:hint="eastAsia"/>
        </w:rPr>
        <w:t>“十四五”时期（2021—2025年）是太仓率先实现“沪苏同城化”、提升产业和城市能级、迈向“现代田园城、幸福金太仓”愿景的关键阶段。全市上下全面贯彻落实新发展理念，开启科技支撑现代化新征程，助推全市在高质量发展上发力加速，在振翅高飞的跑道上快人一步。依据《江苏省“十四五”科技创新规划》《苏州市“十四五”科技发展规划》《太仓市国民经济和社会发展第十四个五年规划和二</w:t>
      </w:r>
      <w:r>
        <w:rPr>
          <w:rFonts w:hint="eastAsia" w:hAnsi="宋体" w:eastAsia="宋体" w:cs="宋体"/>
        </w:rPr>
        <w:t>〇</w:t>
      </w:r>
      <w:r>
        <w:rPr>
          <w:rFonts w:hint="eastAsia"/>
        </w:rPr>
        <w:t>三五年远景目标纲要》，编制《太仓市“十四五”科技创新规划》，明确今后五年科技创新发展总体思路和战略目标、重点任务和重大举措，为各创新主体指明行动方向，是今后五年全市科技创新发展的共同纲领和行动指南。</w:t>
      </w:r>
    </w:p>
    <w:p>
      <w:pPr>
        <w:pStyle w:val="14"/>
        <w:rPr>
          <w:rFonts w:ascii="Times New Roman"/>
        </w:rPr>
      </w:pPr>
      <w:r>
        <w:rPr>
          <w:rFonts w:ascii="Times New Roman"/>
        </w:rPr>
        <w:br w:type="page"/>
      </w:r>
      <w:bookmarkStart w:id="3" w:name="_Toc89090186"/>
      <w:bookmarkStart w:id="4" w:name="_Toc19057"/>
      <w:bookmarkStart w:id="5" w:name="_Toc25326_WPSOffice_Level1"/>
      <w:r>
        <w:rPr>
          <w:rFonts w:ascii="Times New Roman"/>
        </w:rPr>
        <w:t xml:space="preserve">第一章 </w:t>
      </w:r>
      <w:r>
        <w:rPr>
          <w:rFonts w:hint="eastAsia" w:ascii="Times New Roman"/>
        </w:rPr>
        <w:t>“十三五”科技创新回顾</w:t>
      </w:r>
      <w:bookmarkEnd w:id="2"/>
      <w:bookmarkEnd w:id="3"/>
      <w:bookmarkEnd w:id="4"/>
      <w:bookmarkEnd w:id="5"/>
    </w:p>
    <w:p>
      <w:pPr>
        <w:spacing w:line="560" w:lineRule="exact"/>
        <w:ind w:firstLine="680" w:firstLineChars="200"/>
        <w:jc w:val="center"/>
        <w:rPr>
          <w:rFonts w:ascii="Times New Roman" w:eastAsia="方正仿宋_GBK"/>
          <w:sz w:val="34"/>
          <w:szCs w:val="34"/>
        </w:rPr>
      </w:pPr>
    </w:p>
    <w:p>
      <w:pPr>
        <w:pStyle w:val="15"/>
      </w:pPr>
      <w:r>
        <w:rPr>
          <w:rFonts w:hint="eastAsia"/>
        </w:rPr>
        <w:t>“十三五”时期，太仓市发展动能强劲，发展态势良好，围绕“四大两提一进”建设目标，全市上下凝心聚力、砥砺前行，经济社会发展和科技创新取得显著成绩，区域竞争力显著增强</w:t>
      </w:r>
      <w:r>
        <w:t>。</w:t>
      </w:r>
      <w:bookmarkStart w:id="6" w:name="_Toc31122_WPSOffice_Level2"/>
    </w:p>
    <w:bookmarkEnd w:id="6"/>
    <w:p>
      <w:pPr>
        <w:pStyle w:val="17"/>
        <w:ind w:firstLine="630"/>
        <w:rPr>
          <w:rFonts w:ascii="Times New Roman" w:hAnsi="Times New Roman"/>
        </w:rPr>
      </w:pPr>
      <w:bookmarkStart w:id="7" w:name="_Toc31557_WPSOffice_Level2"/>
      <w:bookmarkStart w:id="8" w:name="_Toc89090187"/>
      <w:bookmarkStart w:id="9" w:name="_Toc28852_WPSOffice_Level2"/>
      <w:bookmarkStart w:id="10" w:name="_Toc13646"/>
      <w:r>
        <w:rPr>
          <w:rFonts w:hint="eastAsia" w:ascii="Times New Roman" w:hAnsi="Times New Roman"/>
        </w:rPr>
        <w:t>一</w:t>
      </w:r>
      <w:r>
        <w:rPr>
          <w:rFonts w:ascii="Times New Roman" w:hAnsi="Times New Roman"/>
        </w:rPr>
        <w:t>、科创能级显著提升</w:t>
      </w:r>
      <w:bookmarkEnd w:id="7"/>
      <w:bookmarkEnd w:id="8"/>
      <w:bookmarkEnd w:id="9"/>
      <w:bookmarkEnd w:id="10"/>
    </w:p>
    <w:p>
      <w:pPr>
        <w:pStyle w:val="15"/>
        <w:rPr>
          <w:rFonts w:hint="eastAsia"/>
        </w:rPr>
      </w:pPr>
      <w:r>
        <w:rPr>
          <w:rFonts w:hint="eastAsia"/>
          <w:color w:val="000000"/>
          <w:lang w:val="zh-CN"/>
        </w:rPr>
        <w:t>“十三五”期间，</w:t>
      </w:r>
      <w:r>
        <w:rPr>
          <w:rFonts w:hint="eastAsia"/>
        </w:rPr>
        <w:t>太仓市深入实施创新驱动发展战略，科技创新工作稳步推进，连续三年位居科技创新百强县第二位。</w:t>
      </w:r>
      <w:r>
        <w:rPr>
          <w:rFonts w:hint="eastAsia"/>
          <w:b/>
          <w:bCs/>
        </w:rPr>
        <w:t>创新发展量质提升。</w:t>
      </w:r>
      <w:r>
        <w:rPr>
          <w:rFonts w:hint="eastAsia"/>
        </w:rPr>
        <w:t>2020年，全社会研发经费支出占地区生产总值比重3.34%，较“十二五”末提高1.04个百分点。高新技术产业产值占规模以上工业产值比重达50%，较“十二五”末提高14.8个百分点。累计拥有高新技术企业676家，较“十二五”末增加459家。获评国家知识产权强县工程示范县，万人有效发明专利拥有量72件，较“十二五”末增加45.5件。2020年全市技术合同成交额10.8亿元，研发人员占比8.5%。</w:t>
      </w:r>
      <w:r>
        <w:rPr>
          <w:rFonts w:hint="eastAsia"/>
          <w:b/>
          <w:bCs/>
        </w:rPr>
        <w:t>创新载体加速布局。</w:t>
      </w:r>
      <w:r>
        <w:rPr>
          <w:rFonts w:hint="eastAsia"/>
        </w:rPr>
        <w:t>引进建设西北工业大学太仓校区、西交利物浦大学太仓校区，西北工业大学太仓长三角研究院、江苏先进无机材料研究院建成投运。全市规上工业企业研发机构建有率、大中型及规上高企研发机构建有率上报数超50%和99%。建成省级以上星创天地、众创空间超20家，孵化器及加速器超10家，总孵化面积超过50万平方米。</w:t>
      </w:r>
      <w:r>
        <w:t>获批汽车零部件国家火炬基地</w:t>
      </w:r>
      <w:r>
        <w:rPr>
          <w:rFonts w:hint="eastAsia"/>
        </w:rPr>
        <w:t>1</w:t>
      </w:r>
      <w:r>
        <w:t>家</w:t>
      </w:r>
      <w:r>
        <w:rPr>
          <w:rFonts w:hint="eastAsia"/>
        </w:rPr>
        <w:t>、国家高新技术产业化基地1家</w:t>
      </w:r>
      <w:r>
        <w:t>。</w:t>
      </w:r>
      <w:r>
        <w:rPr>
          <w:rFonts w:hint="eastAsia"/>
          <w:b/>
          <w:bCs/>
        </w:rPr>
        <w:t>创新人才加速集聚。</w:t>
      </w:r>
      <w:r>
        <w:rPr>
          <w:rFonts w:hint="eastAsia"/>
        </w:rPr>
        <w:t>新增国家级重大人才培育工程1人、省双创人才34人、省双创团队1支、姑苏创新创业领军人才66人、太仓科技领军人才175人。西北工业大学太仓长三角研究院入驻团队20个。</w:t>
      </w:r>
    </w:p>
    <w:p>
      <w:pPr>
        <w:pStyle w:val="17"/>
        <w:ind w:firstLine="630"/>
        <w:rPr>
          <w:rFonts w:ascii="Times New Roman" w:hAnsi="Times New Roman"/>
        </w:rPr>
      </w:pPr>
      <w:bookmarkStart w:id="11" w:name="_Toc89090188"/>
      <w:bookmarkStart w:id="12" w:name="_Toc19809"/>
      <w:bookmarkStart w:id="13" w:name="_Toc11422_WPSOffice_Level2"/>
      <w:bookmarkStart w:id="14" w:name="_Toc14928_WPSOffice_Level2"/>
      <w:r>
        <w:rPr>
          <w:rFonts w:ascii="Times New Roman" w:hAnsi="Times New Roman"/>
        </w:rPr>
        <w:t>二、科技合作全面推进</w:t>
      </w:r>
    </w:p>
    <w:p>
      <w:pPr>
        <w:pStyle w:val="15"/>
        <w:rPr>
          <w:rFonts w:hint="eastAsia"/>
        </w:rPr>
      </w:pPr>
      <w:r>
        <w:rPr>
          <w:rFonts w:hint="eastAsia"/>
          <w:color w:val="000000"/>
          <w:lang w:val="zh-CN"/>
        </w:rPr>
        <w:t>“十三五”期间，</w:t>
      </w:r>
      <w:r>
        <w:rPr>
          <w:rFonts w:hint="eastAsia"/>
        </w:rPr>
        <w:t>太仓市高水平对外开放保持强劲发展势头，科技合作全面推进。</w:t>
      </w:r>
      <w:r>
        <w:rPr>
          <w:rFonts w:hint="eastAsia"/>
          <w:b/>
          <w:bCs/>
        </w:rPr>
        <w:t>协同融合沪太合作</w:t>
      </w:r>
      <w:r>
        <w:rPr>
          <w:rFonts w:hint="eastAsia"/>
        </w:rPr>
        <w:t>。嘉昆太区域合作等列入国家《长江三角洲区域一体化发展规划纲要》。“十三五”期间，融入上海“十三五”专项规划编制完成，深化与沪上高校院所合作，嘉昆太协同创新核心圈全面推进，沪太协同发展推介会成功举办。通过成立长三角汽车产业创新联盟、设立长三角产业升级股权投资基金、开设长三角“一网通办”专窗等一系列举措，加快融入长三角一体化发展大局。累计引进上海项目1223个，注册资本208亿元。开通跨省城际快速公交线路5条，交通、医保率先实现“一卡通”。</w:t>
      </w:r>
      <w:r>
        <w:rPr>
          <w:rFonts w:hint="eastAsia"/>
          <w:b/>
          <w:bCs/>
        </w:rPr>
        <w:t>深耕厚植对德合作</w:t>
      </w:r>
      <w:r>
        <w:rPr>
          <w:rFonts w:hint="eastAsia"/>
        </w:rPr>
        <w:t>。集聚德企超400家，建成投运全球第六家、全国第三家德国中心。中德（太仓）合作创新园加快建设，太仓法兰克福创新中心、中德智能制造联合创新中心、太仓（斯图加特）海外离岸孵化中心陆续成立竣工，“双元制”教育、生态环保等领域合作不断加强。与德国于利希市缔结友好城市，与莱茵—内卡地区建立地区性友好伙伴关系。</w:t>
      </w:r>
      <w:bookmarkEnd w:id="11"/>
      <w:bookmarkEnd w:id="12"/>
      <w:bookmarkEnd w:id="13"/>
      <w:bookmarkEnd w:id="14"/>
      <w:r>
        <w:rPr>
          <w:rFonts w:hint="eastAsia"/>
          <w:b/>
          <w:bCs/>
        </w:rPr>
        <w:t>全面深化院校合作。</w:t>
      </w:r>
      <w:r>
        <w:rPr>
          <w:rFonts w:hint="eastAsia"/>
        </w:rPr>
        <w:t>全方位引入科创资源，与上海院士中心、公共研发服务平台、高校技术交易市场等开展“院士行”、“乡贤行”、技术对接会等活动，扩大科技合作“朋友圈”。</w:t>
      </w:r>
      <w:r>
        <w:rPr>
          <w:rFonts w:hint="eastAsia"/>
          <w:color w:val="333333"/>
        </w:rPr>
        <w:t>与太仓市开展全面合作的高校院所达21所，建有校企联盟122个、产学研联合体280个，在太大院大所总数达6家。</w:t>
      </w:r>
    </w:p>
    <w:p>
      <w:pPr>
        <w:pStyle w:val="17"/>
        <w:ind w:firstLine="630"/>
        <w:rPr>
          <w:rFonts w:ascii="Times New Roman" w:hAnsi="Times New Roman"/>
        </w:rPr>
      </w:pPr>
      <w:bookmarkStart w:id="15" w:name="_Toc28522"/>
      <w:bookmarkStart w:id="16" w:name="_Toc8004_WPSOffice_Level2"/>
      <w:bookmarkStart w:id="17" w:name="_Toc89090189"/>
      <w:r>
        <w:rPr>
          <w:rFonts w:ascii="Times New Roman" w:hAnsi="Times New Roman"/>
        </w:rPr>
        <w:t>三、</w:t>
      </w:r>
      <w:bookmarkStart w:id="18" w:name="_Toc9255_WPSOffice_Level2"/>
      <w:r>
        <w:rPr>
          <w:rFonts w:ascii="Times New Roman" w:hAnsi="Times New Roman"/>
        </w:rPr>
        <w:t>创新创业生态聚成</w:t>
      </w:r>
      <w:bookmarkEnd w:id="15"/>
      <w:bookmarkEnd w:id="16"/>
      <w:bookmarkEnd w:id="17"/>
      <w:bookmarkEnd w:id="18"/>
    </w:p>
    <w:p>
      <w:pPr>
        <w:pStyle w:val="15"/>
        <w:rPr>
          <w:rFonts w:hint="eastAsia"/>
          <w:color w:val="FF0000"/>
          <w:lang w:val="zh-CN"/>
        </w:rPr>
      </w:pPr>
      <w:r>
        <w:rPr>
          <w:rFonts w:hint="eastAsia"/>
          <w:lang w:val="zh-CN"/>
        </w:rPr>
        <w:t>“十三五”期间，区域“放管服”改革深入推进，位列营商环境百强县第六位、信用城市监测全国第五位。</w:t>
      </w:r>
      <w:r>
        <w:rPr>
          <w:rFonts w:hint="eastAsia"/>
          <w:b/>
        </w:rPr>
        <w:t>加强党对科技工作的领导。</w:t>
      </w:r>
      <w:r>
        <w:rPr>
          <w:rFonts w:hint="eastAsia"/>
          <w:bCs/>
        </w:rPr>
        <w:t>市委市政府主要领导亲自挂帅，成立了全市科技创新工作领导小组，</w:t>
      </w:r>
      <w:r>
        <w:rPr>
          <w:rFonts w:hint="eastAsia"/>
        </w:rPr>
        <w:t>建立创新工作例会制度，聘请院士作为创新发展顾问，为全市科技创新工作出谋划策。</w:t>
      </w:r>
      <w:r>
        <w:rPr>
          <w:rFonts w:hint="eastAsia"/>
          <w:lang w:val="zh-CN"/>
        </w:rPr>
        <w:t>陆续出台了《关于进一步推进科技创新高地建设的若干政策》《太仓市大院大所创新引领专项计划实施办法》《太仓市推进高新技术企业高质量发展实施意见》《太仓市科技企业孵化器培育管理办法》《太仓市产业引导基金管理办法》等多项政策，区域科技政策体系逐步完善。</w:t>
      </w:r>
      <w:r>
        <w:rPr>
          <w:rFonts w:hint="eastAsia"/>
          <w:b/>
        </w:rPr>
        <w:t>双创孵化体系加快健全。</w:t>
      </w:r>
      <w:r>
        <w:rPr>
          <w:rFonts w:hint="eastAsia"/>
          <w:lang w:val="zh-CN"/>
        </w:rPr>
        <w:t>截至2020年底，全市建成科创载体36家，孵化面积91.8万平方米，在人才引育、企业培育等方面取得了良好成效。包括众创空间21家，其中省级以上众创空间15家（国家级2家），孵化面积4.3万平方米；科技企业孵化器15家，其中省级以上8家（国家级2家），孵化面积48.9万平方米；科技企业加速器5家，其中省级1家，孵化面积38.6万平方米。</w:t>
      </w:r>
      <w:r>
        <w:rPr>
          <w:rFonts w:hint="eastAsia"/>
          <w:b/>
          <w:lang w:val="zh-CN"/>
        </w:rPr>
        <w:t>创新创业氛围日益浓厚。</w:t>
      </w:r>
      <w:r>
        <w:rPr>
          <w:rFonts w:hint="eastAsia"/>
        </w:rPr>
        <w:t>新建国家技术转移苏南中心自主创新服务超市太仓分中心、上海研发公共服务平台太仓服务驿站、江苏省科技企业融资路演服务中心太仓分中心。不断拓宽科技服务方式方法，太仓市双创综合服务平台科创融合中心、梦工厂建成投用。</w:t>
      </w:r>
      <w:r>
        <w:rPr>
          <w:rFonts w:hint="eastAsia"/>
          <w:lang w:val="zh-CN"/>
        </w:rPr>
        <w:t>不断营造活跃创新氛围，两届全球创业大赛成功举办，“创赢太仓”已成为太仓对外宣传创新创业环境的重要品牌。</w:t>
      </w:r>
      <w:r>
        <w:rPr>
          <w:rFonts w:hint="eastAsia"/>
        </w:rPr>
        <w:t>成立2亿元科技人才基金。</w:t>
      </w:r>
      <w:r>
        <w:rPr>
          <w:rFonts w:hint="eastAsia"/>
          <w:lang w:val="zh-CN"/>
        </w:rPr>
        <w:t>通过“高企融资服务直通车”等方式，5年帮助200多家企业获得信贷资金超1</w:t>
      </w:r>
      <w:r>
        <w:rPr>
          <w:rFonts w:hint="eastAsia"/>
        </w:rPr>
        <w:t>0</w:t>
      </w:r>
      <w:r>
        <w:rPr>
          <w:rFonts w:hint="eastAsia"/>
          <w:lang w:val="zh-CN"/>
        </w:rPr>
        <w:t>亿元，连续</w:t>
      </w:r>
      <w:r>
        <w:rPr>
          <w:rFonts w:hint="eastAsia"/>
        </w:rPr>
        <w:t>4</w:t>
      </w:r>
      <w:r>
        <w:rPr>
          <w:rFonts w:hint="eastAsia"/>
          <w:lang w:val="zh-CN"/>
        </w:rPr>
        <w:t>年获评“苏科贷”A类城市</w:t>
      </w:r>
      <w:r>
        <w:rPr>
          <w:rFonts w:hint="eastAsia"/>
        </w:rPr>
        <w:t>。</w:t>
      </w:r>
    </w:p>
    <w:p>
      <w:pPr>
        <w:spacing w:line="560" w:lineRule="exact"/>
        <w:ind w:firstLine="640" w:firstLineChars="200"/>
        <w:jc w:val="left"/>
        <w:rPr>
          <w:rFonts w:ascii="Times New Roman" w:eastAsia="仿宋_GB2312"/>
          <w:color w:val="FF0000"/>
          <w:szCs w:val="32"/>
          <w:lang w:val="zh-CN"/>
        </w:rPr>
      </w:pPr>
    </w:p>
    <w:p>
      <w:pPr>
        <w:spacing w:line="560" w:lineRule="exact"/>
        <w:ind w:firstLine="0"/>
        <w:jc w:val="center"/>
        <w:rPr>
          <w:rFonts w:ascii="Times New Roman" w:eastAsia="黑体"/>
          <w:sz w:val="28"/>
          <w:szCs w:val="28"/>
          <w:lang w:val="zh-CN"/>
        </w:rPr>
      </w:pPr>
      <w:r>
        <w:rPr>
          <w:rFonts w:ascii="Times New Roman" w:eastAsia="黑体"/>
          <w:sz w:val="28"/>
          <w:szCs w:val="28"/>
          <w:lang w:val="zh-CN"/>
        </w:rPr>
        <w:br w:type="page"/>
      </w:r>
      <w:r>
        <w:rPr>
          <w:rFonts w:ascii="Times New Roman" w:eastAsia="黑体"/>
          <w:sz w:val="28"/>
          <w:szCs w:val="28"/>
          <w:lang w:val="zh-CN"/>
        </w:rPr>
        <w:t>表1 太仓市“十三五”科技发展规划主要指标完成情况</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515"/>
        <w:gridCol w:w="1020"/>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center"/>
          </w:tcPr>
          <w:p>
            <w:pPr>
              <w:spacing w:line="400" w:lineRule="exact"/>
              <w:ind w:firstLine="0"/>
              <w:rPr>
                <w:rFonts w:ascii="Times New Roman" w:eastAsia="黑体"/>
                <w:bCs/>
                <w:sz w:val="28"/>
                <w:szCs w:val="28"/>
                <w:lang w:val="zh-CN"/>
              </w:rPr>
            </w:pPr>
            <w:r>
              <w:rPr>
                <w:rFonts w:ascii="Times New Roman" w:eastAsia="黑体"/>
                <w:bCs/>
                <w:sz w:val="28"/>
                <w:szCs w:val="28"/>
                <w:lang w:val="zh-CN"/>
              </w:rPr>
              <w:t>序号</w:t>
            </w:r>
          </w:p>
        </w:tc>
        <w:tc>
          <w:tcPr>
            <w:tcW w:w="3515" w:type="dxa"/>
            <w:noWrap w:val="0"/>
            <w:vAlign w:val="center"/>
          </w:tcPr>
          <w:p>
            <w:pPr>
              <w:spacing w:line="400" w:lineRule="exact"/>
              <w:ind w:firstLine="0"/>
              <w:jc w:val="center"/>
              <w:rPr>
                <w:rFonts w:ascii="Times New Roman" w:eastAsia="黑体"/>
                <w:bCs/>
                <w:sz w:val="28"/>
                <w:szCs w:val="28"/>
                <w:lang w:val="zh-CN"/>
              </w:rPr>
            </w:pPr>
            <w:r>
              <w:rPr>
                <w:rFonts w:ascii="Times New Roman" w:eastAsia="黑体"/>
                <w:bCs/>
                <w:sz w:val="28"/>
                <w:szCs w:val="28"/>
                <w:lang w:val="zh-CN"/>
              </w:rPr>
              <w:t>指标</w:t>
            </w:r>
            <w:r>
              <w:rPr>
                <w:rFonts w:hint="eastAsia" w:ascii="Times New Roman" w:eastAsia="黑体"/>
                <w:bCs/>
                <w:sz w:val="28"/>
                <w:szCs w:val="28"/>
                <w:lang w:val="zh-CN"/>
              </w:rPr>
              <w:t>名称</w:t>
            </w:r>
          </w:p>
        </w:tc>
        <w:tc>
          <w:tcPr>
            <w:tcW w:w="1020" w:type="dxa"/>
            <w:noWrap w:val="0"/>
            <w:vAlign w:val="center"/>
          </w:tcPr>
          <w:p>
            <w:pPr>
              <w:spacing w:line="400" w:lineRule="exact"/>
              <w:ind w:firstLine="0"/>
              <w:jc w:val="center"/>
              <w:rPr>
                <w:rFonts w:ascii="Times New Roman" w:eastAsia="黑体"/>
                <w:bCs/>
                <w:sz w:val="28"/>
                <w:szCs w:val="28"/>
                <w:lang w:val="zh-CN"/>
              </w:rPr>
            </w:pPr>
            <w:r>
              <w:rPr>
                <w:rFonts w:hint="eastAsia" w:ascii="Times New Roman" w:eastAsia="黑体"/>
                <w:bCs/>
                <w:sz w:val="28"/>
                <w:szCs w:val="28"/>
                <w:lang w:val="zh-CN"/>
              </w:rPr>
              <w:t>单位</w:t>
            </w:r>
          </w:p>
        </w:tc>
        <w:tc>
          <w:tcPr>
            <w:tcW w:w="1701" w:type="dxa"/>
            <w:noWrap w:val="0"/>
            <w:vAlign w:val="center"/>
          </w:tcPr>
          <w:p>
            <w:pPr>
              <w:spacing w:line="400" w:lineRule="exact"/>
              <w:ind w:firstLine="0"/>
              <w:jc w:val="center"/>
              <w:rPr>
                <w:rFonts w:hint="eastAsia" w:ascii="Times New Roman" w:eastAsia="黑体"/>
                <w:bCs/>
                <w:sz w:val="28"/>
                <w:szCs w:val="28"/>
                <w:lang w:val="zh-CN"/>
              </w:rPr>
            </w:pPr>
            <w:r>
              <w:rPr>
                <w:rFonts w:ascii="Times New Roman" w:eastAsia="黑体"/>
                <w:bCs/>
                <w:sz w:val="28"/>
                <w:szCs w:val="28"/>
                <w:lang w:val="zh-CN"/>
              </w:rPr>
              <w:t>“十三五”</w:t>
            </w:r>
          </w:p>
          <w:p>
            <w:pPr>
              <w:spacing w:line="400" w:lineRule="exact"/>
              <w:ind w:firstLine="0"/>
              <w:jc w:val="center"/>
              <w:rPr>
                <w:rFonts w:ascii="Times New Roman" w:eastAsia="黑体"/>
                <w:bCs/>
                <w:sz w:val="28"/>
                <w:szCs w:val="28"/>
                <w:lang w:val="zh-CN"/>
              </w:rPr>
            </w:pPr>
            <w:r>
              <w:rPr>
                <w:rFonts w:ascii="Times New Roman" w:eastAsia="黑体"/>
                <w:bCs/>
                <w:sz w:val="28"/>
                <w:szCs w:val="28"/>
                <w:lang w:val="zh-CN"/>
              </w:rPr>
              <w:t>规划目标</w:t>
            </w:r>
          </w:p>
        </w:tc>
        <w:tc>
          <w:tcPr>
            <w:tcW w:w="1701" w:type="dxa"/>
            <w:noWrap w:val="0"/>
            <w:vAlign w:val="center"/>
          </w:tcPr>
          <w:p>
            <w:pPr>
              <w:spacing w:line="400" w:lineRule="exact"/>
              <w:ind w:firstLine="0"/>
              <w:jc w:val="center"/>
              <w:rPr>
                <w:rFonts w:ascii="Times New Roman" w:eastAsia="黑体"/>
                <w:bCs/>
                <w:sz w:val="28"/>
                <w:szCs w:val="28"/>
                <w:lang w:val="zh-CN"/>
              </w:rPr>
            </w:pPr>
            <w:r>
              <w:rPr>
                <w:rFonts w:ascii="Times New Roman" w:eastAsia="黑体"/>
                <w:bCs/>
                <w:sz w:val="28"/>
                <w:szCs w:val="28"/>
                <w:lang w:val="zh-CN"/>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59" w:type="dxa"/>
            <w:noWrap w:val="0"/>
            <w:vAlign w:val="center"/>
          </w:tcPr>
          <w:p>
            <w:pPr>
              <w:spacing w:line="400" w:lineRule="exact"/>
              <w:ind w:firstLine="0"/>
              <w:jc w:val="center"/>
              <w:rPr>
                <w:rFonts w:ascii="Times New Roman" w:eastAsia="仿宋_GB2312"/>
                <w:sz w:val="28"/>
                <w:szCs w:val="28"/>
                <w:lang w:val="zh-CN"/>
              </w:rPr>
            </w:pPr>
            <w:r>
              <w:rPr>
                <w:rFonts w:ascii="Times New Roman" w:eastAsia="仿宋_GB2312"/>
                <w:sz w:val="28"/>
                <w:szCs w:val="28"/>
                <w:lang w:val="zh-CN"/>
              </w:rPr>
              <w:t>1</w:t>
            </w:r>
          </w:p>
        </w:tc>
        <w:tc>
          <w:tcPr>
            <w:tcW w:w="3515" w:type="dxa"/>
            <w:noWrap w:val="0"/>
            <w:vAlign w:val="center"/>
          </w:tcPr>
          <w:p>
            <w:pPr>
              <w:widowControl/>
              <w:spacing w:line="400" w:lineRule="exact"/>
              <w:ind w:firstLine="0"/>
              <w:jc w:val="center"/>
              <w:textAlignment w:val="center"/>
              <w:rPr>
                <w:rFonts w:hint="eastAsia" w:ascii="Times New Roman" w:eastAsia="仿宋_GB2312"/>
                <w:sz w:val="28"/>
                <w:szCs w:val="28"/>
                <w:lang w:bidi="ar"/>
              </w:rPr>
            </w:pPr>
            <w:r>
              <w:rPr>
                <w:rFonts w:ascii="Times New Roman" w:eastAsia="仿宋_GB2312"/>
                <w:sz w:val="28"/>
                <w:szCs w:val="28"/>
                <w:lang w:bidi="ar"/>
              </w:rPr>
              <w:t>全社会研发投入</w:t>
            </w:r>
          </w:p>
          <w:p>
            <w:pPr>
              <w:widowControl/>
              <w:spacing w:line="400" w:lineRule="exact"/>
              <w:ind w:firstLine="0"/>
              <w:jc w:val="center"/>
              <w:textAlignment w:val="center"/>
              <w:rPr>
                <w:rFonts w:ascii="Times New Roman" w:eastAsia="仿宋_GB2312"/>
                <w:sz w:val="28"/>
                <w:szCs w:val="28"/>
                <w:lang w:bidi="ar"/>
              </w:rPr>
            </w:pPr>
            <w:r>
              <w:rPr>
                <w:rFonts w:ascii="Times New Roman" w:eastAsia="仿宋_GB2312"/>
                <w:sz w:val="28"/>
                <w:szCs w:val="28"/>
                <w:lang w:bidi="ar"/>
              </w:rPr>
              <w:t>占地区生产总值比重</w:t>
            </w:r>
          </w:p>
        </w:tc>
        <w:tc>
          <w:tcPr>
            <w:tcW w:w="1020" w:type="dxa"/>
            <w:noWrap w:val="0"/>
            <w:vAlign w:val="center"/>
          </w:tcPr>
          <w:p>
            <w:pPr>
              <w:spacing w:line="400" w:lineRule="exact"/>
              <w:ind w:firstLine="0"/>
              <w:jc w:val="center"/>
              <w:rPr>
                <w:rFonts w:ascii="Times New Roman" w:eastAsia="仿宋_GB2312"/>
                <w:sz w:val="28"/>
                <w:szCs w:val="28"/>
              </w:rPr>
            </w:pPr>
            <w:r>
              <w:rPr>
                <w:rStyle w:val="18"/>
                <w:rFonts w:hint="default" w:ascii="Times New Roman" w:hAnsi="Times New Roman" w:eastAsia="仿宋_GB2312"/>
                <w:sz w:val="28"/>
                <w:szCs w:val="28"/>
                <w:lang w:bidi="ar"/>
              </w:rPr>
              <w:t>%</w:t>
            </w:r>
          </w:p>
        </w:tc>
        <w:tc>
          <w:tcPr>
            <w:tcW w:w="1701" w:type="dxa"/>
            <w:noWrap w:val="0"/>
            <w:vAlign w:val="center"/>
          </w:tcPr>
          <w:p>
            <w:pPr>
              <w:spacing w:line="400" w:lineRule="exact"/>
              <w:ind w:firstLine="0"/>
              <w:jc w:val="center"/>
              <w:rPr>
                <w:rFonts w:hint="eastAsia" w:ascii="Times New Roman" w:eastAsia="仿宋_GB2312"/>
                <w:sz w:val="28"/>
                <w:szCs w:val="28"/>
              </w:rPr>
            </w:pPr>
            <w:r>
              <w:rPr>
                <w:rFonts w:hint="eastAsia" w:ascii="Times New Roman" w:eastAsia="仿宋_GB2312"/>
                <w:sz w:val="28"/>
                <w:szCs w:val="28"/>
              </w:rPr>
              <w:t>3左右</w:t>
            </w:r>
          </w:p>
        </w:tc>
        <w:tc>
          <w:tcPr>
            <w:tcW w:w="1701" w:type="dxa"/>
            <w:noWrap w:val="0"/>
            <w:vAlign w:val="center"/>
          </w:tcPr>
          <w:p>
            <w:pPr>
              <w:spacing w:line="400" w:lineRule="exact"/>
              <w:ind w:firstLine="0"/>
              <w:jc w:val="center"/>
              <w:rPr>
                <w:rFonts w:hint="eastAsia" w:ascii="Times New Roman" w:eastAsia="仿宋_GB2312"/>
                <w:sz w:val="28"/>
                <w:szCs w:val="28"/>
              </w:rPr>
            </w:pPr>
            <w:r>
              <w:rPr>
                <w:rFonts w:hint="eastAsia" w:ascii="Times New Roman" w:eastAsia="仿宋_GB2312"/>
                <w:sz w:val="28"/>
                <w:szCs w:val="28"/>
              </w:rPr>
              <w:t>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59" w:type="dxa"/>
            <w:noWrap w:val="0"/>
            <w:vAlign w:val="center"/>
          </w:tcPr>
          <w:p>
            <w:pPr>
              <w:spacing w:line="400" w:lineRule="exact"/>
              <w:ind w:firstLine="0"/>
              <w:jc w:val="center"/>
              <w:rPr>
                <w:rFonts w:ascii="Times New Roman" w:eastAsia="仿宋_GB2312"/>
                <w:sz w:val="28"/>
                <w:szCs w:val="28"/>
                <w:lang w:val="zh-CN"/>
              </w:rPr>
            </w:pPr>
            <w:r>
              <w:rPr>
                <w:rFonts w:ascii="Times New Roman" w:eastAsia="仿宋_GB2312"/>
                <w:sz w:val="28"/>
                <w:szCs w:val="28"/>
                <w:lang w:val="zh-CN"/>
              </w:rPr>
              <w:t>2</w:t>
            </w:r>
          </w:p>
        </w:tc>
        <w:tc>
          <w:tcPr>
            <w:tcW w:w="3515" w:type="dxa"/>
            <w:noWrap w:val="0"/>
            <w:vAlign w:val="center"/>
          </w:tcPr>
          <w:p>
            <w:pPr>
              <w:widowControl/>
              <w:spacing w:line="400" w:lineRule="exact"/>
              <w:ind w:firstLine="0"/>
              <w:jc w:val="center"/>
              <w:textAlignment w:val="center"/>
              <w:rPr>
                <w:rFonts w:ascii="Times New Roman" w:eastAsia="仿宋_GB2312"/>
                <w:sz w:val="28"/>
                <w:szCs w:val="28"/>
              </w:rPr>
            </w:pPr>
            <w:r>
              <w:rPr>
                <w:rFonts w:ascii="Times New Roman" w:eastAsia="仿宋_GB2312"/>
                <w:sz w:val="28"/>
                <w:szCs w:val="28"/>
                <w:lang w:bidi="ar"/>
              </w:rPr>
              <w:t>科技进步贡献率</w:t>
            </w:r>
          </w:p>
        </w:tc>
        <w:tc>
          <w:tcPr>
            <w:tcW w:w="1020" w:type="dxa"/>
            <w:noWrap w:val="0"/>
            <w:vAlign w:val="center"/>
          </w:tcPr>
          <w:p>
            <w:pPr>
              <w:spacing w:line="400" w:lineRule="exact"/>
              <w:ind w:firstLine="0"/>
              <w:jc w:val="center"/>
              <w:rPr>
                <w:rFonts w:ascii="Times New Roman" w:eastAsia="仿宋_GB2312"/>
                <w:sz w:val="28"/>
                <w:szCs w:val="28"/>
              </w:rPr>
            </w:pPr>
            <w:r>
              <w:rPr>
                <w:rStyle w:val="18"/>
                <w:rFonts w:hint="default" w:ascii="Times New Roman" w:hAnsi="Times New Roman" w:eastAsia="仿宋_GB2312"/>
                <w:sz w:val="28"/>
                <w:szCs w:val="28"/>
                <w:lang w:bidi="ar"/>
              </w:rPr>
              <w:t>%</w:t>
            </w:r>
          </w:p>
        </w:tc>
        <w:tc>
          <w:tcPr>
            <w:tcW w:w="1701" w:type="dxa"/>
            <w:noWrap w:val="0"/>
            <w:vAlign w:val="center"/>
          </w:tcPr>
          <w:p>
            <w:pPr>
              <w:spacing w:line="400" w:lineRule="exact"/>
              <w:ind w:firstLine="0"/>
              <w:jc w:val="center"/>
              <w:rPr>
                <w:rFonts w:hint="eastAsia" w:ascii="Times New Roman" w:eastAsia="仿宋_GB2312"/>
                <w:sz w:val="28"/>
                <w:szCs w:val="28"/>
              </w:rPr>
            </w:pPr>
            <w:r>
              <w:rPr>
                <w:rFonts w:hint="eastAsia" w:ascii="Times New Roman" w:eastAsia="仿宋_GB2312"/>
                <w:sz w:val="28"/>
                <w:szCs w:val="28"/>
              </w:rPr>
              <w:t>65</w:t>
            </w:r>
          </w:p>
        </w:tc>
        <w:tc>
          <w:tcPr>
            <w:tcW w:w="1701" w:type="dxa"/>
            <w:noWrap w:val="0"/>
            <w:vAlign w:val="center"/>
          </w:tcPr>
          <w:p>
            <w:pPr>
              <w:spacing w:line="400" w:lineRule="exact"/>
              <w:ind w:firstLine="0"/>
              <w:jc w:val="center"/>
              <w:rPr>
                <w:rFonts w:hint="eastAsia" w:ascii="Times New Roman" w:eastAsia="仿宋_GB2312"/>
                <w:sz w:val="28"/>
                <w:szCs w:val="28"/>
              </w:rPr>
            </w:pPr>
            <w:r>
              <w:rPr>
                <w:rFonts w:hint="eastAsia" w:ascii="Times New Roman" w:eastAsia="仿宋_GB2312"/>
                <w:sz w:val="28"/>
                <w:szCs w:val="28"/>
              </w:rPr>
              <w:t>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59" w:type="dxa"/>
            <w:noWrap w:val="0"/>
            <w:vAlign w:val="center"/>
          </w:tcPr>
          <w:p>
            <w:pPr>
              <w:spacing w:line="400" w:lineRule="exact"/>
              <w:ind w:firstLine="0"/>
              <w:jc w:val="center"/>
              <w:rPr>
                <w:rFonts w:ascii="Times New Roman" w:eastAsia="仿宋_GB2312"/>
                <w:sz w:val="28"/>
                <w:szCs w:val="28"/>
                <w:lang w:val="zh-CN"/>
              </w:rPr>
            </w:pPr>
            <w:r>
              <w:rPr>
                <w:rFonts w:ascii="Times New Roman" w:eastAsia="仿宋_GB2312"/>
                <w:sz w:val="28"/>
                <w:szCs w:val="28"/>
                <w:lang w:val="zh-CN"/>
              </w:rPr>
              <w:t>3</w:t>
            </w:r>
          </w:p>
        </w:tc>
        <w:tc>
          <w:tcPr>
            <w:tcW w:w="3515" w:type="dxa"/>
            <w:noWrap w:val="0"/>
            <w:vAlign w:val="center"/>
          </w:tcPr>
          <w:p>
            <w:pPr>
              <w:widowControl/>
              <w:spacing w:line="400" w:lineRule="exact"/>
              <w:ind w:firstLine="0"/>
              <w:jc w:val="center"/>
              <w:textAlignment w:val="center"/>
              <w:rPr>
                <w:rFonts w:ascii="Times New Roman" w:eastAsia="仿宋_GB2312"/>
                <w:sz w:val="28"/>
                <w:szCs w:val="28"/>
              </w:rPr>
            </w:pPr>
            <w:r>
              <w:rPr>
                <w:rFonts w:ascii="Times New Roman" w:eastAsia="仿宋_GB2312"/>
                <w:sz w:val="28"/>
                <w:szCs w:val="28"/>
                <w:lang w:bidi="ar"/>
              </w:rPr>
              <w:t>万人发明专利拥有量</w:t>
            </w:r>
          </w:p>
        </w:tc>
        <w:tc>
          <w:tcPr>
            <w:tcW w:w="1020" w:type="dxa"/>
            <w:noWrap w:val="0"/>
            <w:vAlign w:val="center"/>
          </w:tcPr>
          <w:p>
            <w:pPr>
              <w:spacing w:line="400" w:lineRule="exact"/>
              <w:ind w:firstLine="0"/>
              <w:jc w:val="center"/>
              <w:rPr>
                <w:rFonts w:ascii="Times New Roman" w:eastAsia="仿宋_GB2312"/>
                <w:sz w:val="28"/>
                <w:szCs w:val="28"/>
              </w:rPr>
            </w:pPr>
            <w:r>
              <w:rPr>
                <w:rFonts w:ascii="Times New Roman" w:eastAsia="仿宋_GB2312"/>
                <w:sz w:val="28"/>
                <w:szCs w:val="28"/>
                <w:lang w:bidi="ar"/>
              </w:rPr>
              <w:t>件</w:t>
            </w:r>
          </w:p>
        </w:tc>
        <w:tc>
          <w:tcPr>
            <w:tcW w:w="1701" w:type="dxa"/>
            <w:noWrap w:val="0"/>
            <w:vAlign w:val="center"/>
          </w:tcPr>
          <w:p>
            <w:pPr>
              <w:spacing w:line="400" w:lineRule="exact"/>
              <w:ind w:firstLine="0"/>
              <w:jc w:val="center"/>
              <w:rPr>
                <w:rFonts w:hint="eastAsia" w:ascii="Times New Roman" w:eastAsia="仿宋_GB2312"/>
                <w:sz w:val="28"/>
                <w:szCs w:val="28"/>
              </w:rPr>
            </w:pPr>
            <w:r>
              <w:rPr>
                <w:rFonts w:hint="eastAsia" w:ascii="Times New Roman" w:eastAsia="仿宋_GB2312"/>
                <w:sz w:val="28"/>
                <w:szCs w:val="28"/>
              </w:rPr>
              <w:t>38</w:t>
            </w:r>
          </w:p>
        </w:tc>
        <w:tc>
          <w:tcPr>
            <w:tcW w:w="1701" w:type="dxa"/>
            <w:noWrap w:val="0"/>
            <w:vAlign w:val="center"/>
          </w:tcPr>
          <w:p>
            <w:pPr>
              <w:spacing w:line="400" w:lineRule="exact"/>
              <w:ind w:firstLine="0"/>
              <w:jc w:val="center"/>
              <w:rPr>
                <w:rFonts w:hint="eastAsia" w:ascii="Times New Roman" w:eastAsia="仿宋_GB2312"/>
                <w:sz w:val="28"/>
                <w:szCs w:val="28"/>
              </w:rPr>
            </w:pPr>
            <w:r>
              <w:rPr>
                <w:rFonts w:hint="eastAsia" w:ascii="Times New Roman" w:eastAsia="仿宋_GB2312"/>
                <w:sz w:val="28"/>
                <w:szCs w:val="28"/>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59" w:type="dxa"/>
            <w:noWrap w:val="0"/>
            <w:vAlign w:val="center"/>
          </w:tcPr>
          <w:p>
            <w:pPr>
              <w:spacing w:line="400" w:lineRule="exact"/>
              <w:ind w:firstLine="0"/>
              <w:jc w:val="center"/>
              <w:rPr>
                <w:rFonts w:ascii="Times New Roman" w:eastAsia="仿宋_GB2312"/>
                <w:sz w:val="28"/>
                <w:szCs w:val="28"/>
              </w:rPr>
            </w:pPr>
            <w:r>
              <w:rPr>
                <w:rFonts w:ascii="Times New Roman" w:eastAsia="仿宋_GB2312"/>
                <w:sz w:val="28"/>
                <w:szCs w:val="28"/>
              </w:rPr>
              <w:t>4</w:t>
            </w:r>
          </w:p>
        </w:tc>
        <w:tc>
          <w:tcPr>
            <w:tcW w:w="3515" w:type="dxa"/>
            <w:noWrap w:val="0"/>
            <w:vAlign w:val="center"/>
          </w:tcPr>
          <w:p>
            <w:pPr>
              <w:widowControl/>
              <w:spacing w:line="400" w:lineRule="exact"/>
              <w:ind w:firstLine="0"/>
              <w:jc w:val="center"/>
              <w:textAlignment w:val="center"/>
              <w:rPr>
                <w:rFonts w:ascii="Times New Roman" w:eastAsia="仿宋_GB2312"/>
                <w:sz w:val="28"/>
                <w:szCs w:val="28"/>
              </w:rPr>
            </w:pPr>
            <w:r>
              <w:rPr>
                <w:rFonts w:ascii="Times New Roman" w:eastAsia="仿宋_GB2312"/>
                <w:sz w:val="28"/>
                <w:szCs w:val="28"/>
                <w:lang w:bidi="ar"/>
              </w:rPr>
              <w:t>万人拥有高层次人才数</w:t>
            </w:r>
          </w:p>
        </w:tc>
        <w:tc>
          <w:tcPr>
            <w:tcW w:w="1020" w:type="dxa"/>
            <w:noWrap w:val="0"/>
            <w:vAlign w:val="center"/>
          </w:tcPr>
          <w:p>
            <w:pPr>
              <w:spacing w:line="400" w:lineRule="exact"/>
              <w:ind w:firstLine="0"/>
              <w:jc w:val="center"/>
              <w:rPr>
                <w:rFonts w:ascii="Times New Roman" w:eastAsia="仿宋_GB2312"/>
                <w:sz w:val="28"/>
                <w:szCs w:val="28"/>
              </w:rPr>
            </w:pPr>
            <w:r>
              <w:rPr>
                <w:rFonts w:ascii="Times New Roman" w:eastAsia="仿宋_GB2312"/>
                <w:sz w:val="28"/>
                <w:szCs w:val="28"/>
                <w:lang w:bidi="ar"/>
              </w:rPr>
              <w:t>人</w:t>
            </w:r>
          </w:p>
        </w:tc>
        <w:tc>
          <w:tcPr>
            <w:tcW w:w="1701" w:type="dxa"/>
            <w:noWrap w:val="0"/>
            <w:vAlign w:val="center"/>
          </w:tcPr>
          <w:p>
            <w:pPr>
              <w:spacing w:line="400" w:lineRule="exact"/>
              <w:ind w:firstLine="0"/>
              <w:jc w:val="center"/>
              <w:rPr>
                <w:rFonts w:hint="eastAsia" w:ascii="Times New Roman" w:eastAsia="仿宋_GB2312"/>
                <w:sz w:val="28"/>
                <w:szCs w:val="28"/>
              </w:rPr>
            </w:pPr>
            <w:r>
              <w:rPr>
                <w:rFonts w:hint="eastAsia" w:ascii="Times New Roman" w:eastAsia="仿宋_GB2312"/>
                <w:sz w:val="28"/>
                <w:szCs w:val="28"/>
              </w:rPr>
              <w:t>169</w:t>
            </w:r>
          </w:p>
        </w:tc>
        <w:tc>
          <w:tcPr>
            <w:tcW w:w="1701" w:type="dxa"/>
            <w:noWrap w:val="0"/>
            <w:vAlign w:val="center"/>
          </w:tcPr>
          <w:p>
            <w:pPr>
              <w:spacing w:line="400" w:lineRule="exact"/>
              <w:ind w:firstLine="0"/>
              <w:jc w:val="center"/>
              <w:rPr>
                <w:rFonts w:hint="eastAsia" w:ascii="Times New Roman" w:eastAsia="仿宋_GB2312"/>
                <w:sz w:val="28"/>
                <w:szCs w:val="28"/>
              </w:rPr>
            </w:pPr>
            <w:r>
              <w:rPr>
                <w:rFonts w:hint="eastAsia" w:ascii="Times New Roman" w:eastAsia="仿宋_GB2312"/>
                <w:sz w:val="28"/>
                <w:szCs w:val="28"/>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59" w:type="dxa"/>
            <w:noWrap w:val="0"/>
            <w:vAlign w:val="center"/>
          </w:tcPr>
          <w:p>
            <w:pPr>
              <w:spacing w:line="400" w:lineRule="exact"/>
              <w:ind w:firstLine="0"/>
              <w:jc w:val="center"/>
              <w:rPr>
                <w:rFonts w:ascii="Times New Roman" w:eastAsia="仿宋_GB2312"/>
                <w:sz w:val="28"/>
                <w:szCs w:val="28"/>
              </w:rPr>
            </w:pPr>
            <w:r>
              <w:rPr>
                <w:rFonts w:ascii="Times New Roman" w:eastAsia="仿宋_GB2312"/>
                <w:sz w:val="28"/>
                <w:szCs w:val="28"/>
              </w:rPr>
              <w:t>5</w:t>
            </w:r>
          </w:p>
        </w:tc>
        <w:tc>
          <w:tcPr>
            <w:tcW w:w="3515" w:type="dxa"/>
            <w:noWrap w:val="0"/>
            <w:vAlign w:val="center"/>
          </w:tcPr>
          <w:p>
            <w:pPr>
              <w:widowControl/>
              <w:spacing w:line="400" w:lineRule="exact"/>
              <w:ind w:firstLine="0"/>
              <w:jc w:val="center"/>
              <w:textAlignment w:val="center"/>
              <w:rPr>
                <w:rFonts w:ascii="Times New Roman" w:eastAsia="仿宋_GB2312"/>
                <w:sz w:val="28"/>
                <w:szCs w:val="28"/>
                <w:lang w:bidi="ar"/>
              </w:rPr>
            </w:pPr>
            <w:r>
              <w:rPr>
                <w:rFonts w:ascii="Times New Roman" w:eastAsia="仿宋_GB2312"/>
                <w:sz w:val="28"/>
                <w:szCs w:val="28"/>
                <w:lang w:bidi="ar"/>
              </w:rPr>
              <w:t>引进</w:t>
            </w:r>
            <w:r>
              <w:rPr>
                <w:rFonts w:hint="eastAsia" w:ascii="Times New Roman" w:eastAsia="仿宋_GB2312"/>
                <w:sz w:val="28"/>
                <w:szCs w:val="28"/>
                <w:lang w:bidi="ar"/>
              </w:rPr>
              <w:t>培育国家级人才</w:t>
            </w:r>
          </w:p>
        </w:tc>
        <w:tc>
          <w:tcPr>
            <w:tcW w:w="1020" w:type="dxa"/>
            <w:noWrap w:val="0"/>
            <w:vAlign w:val="center"/>
          </w:tcPr>
          <w:p>
            <w:pPr>
              <w:spacing w:line="400" w:lineRule="exact"/>
              <w:ind w:firstLine="0"/>
              <w:jc w:val="center"/>
              <w:rPr>
                <w:rFonts w:ascii="Times New Roman" w:eastAsia="仿宋_GB2312"/>
                <w:sz w:val="28"/>
                <w:szCs w:val="28"/>
              </w:rPr>
            </w:pPr>
            <w:r>
              <w:rPr>
                <w:rFonts w:ascii="Times New Roman" w:eastAsia="仿宋_GB2312"/>
                <w:sz w:val="28"/>
                <w:szCs w:val="28"/>
                <w:lang w:bidi="ar"/>
              </w:rPr>
              <w:t>人</w:t>
            </w:r>
          </w:p>
        </w:tc>
        <w:tc>
          <w:tcPr>
            <w:tcW w:w="1701" w:type="dxa"/>
            <w:noWrap w:val="0"/>
            <w:vAlign w:val="center"/>
          </w:tcPr>
          <w:p>
            <w:pPr>
              <w:spacing w:line="400" w:lineRule="exact"/>
              <w:ind w:firstLine="0"/>
              <w:jc w:val="center"/>
              <w:rPr>
                <w:rFonts w:hint="eastAsia" w:ascii="Times New Roman" w:eastAsia="仿宋_GB2312"/>
                <w:sz w:val="28"/>
                <w:szCs w:val="28"/>
              </w:rPr>
            </w:pPr>
            <w:r>
              <w:rPr>
                <w:rFonts w:hint="eastAsia" w:ascii="Times New Roman" w:eastAsia="仿宋_GB2312"/>
                <w:sz w:val="28"/>
                <w:szCs w:val="28"/>
              </w:rPr>
              <w:t>50</w:t>
            </w:r>
          </w:p>
        </w:tc>
        <w:tc>
          <w:tcPr>
            <w:tcW w:w="1701" w:type="dxa"/>
            <w:noWrap w:val="0"/>
            <w:vAlign w:val="center"/>
          </w:tcPr>
          <w:p>
            <w:pPr>
              <w:spacing w:line="400" w:lineRule="exact"/>
              <w:ind w:firstLine="0"/>
              <w:jc w:val="center"/>
              <w:rPr>
                <w:rFonts w:hint="eastAsia" w:ascii="Times New Roman" w:eastAsia="仿宋_GB2312"/>
                <w:sz w:val="28"/>
                <w:szCs w:val="28"/>
              </w:rPr>
            </w:pPr>
            <w:r>
              <w:rPr>
                <w:rFonts w:hint="eastAsia" w:ascii="Times New Roman" w:eastAsia="仿宋_GB2312"/>
                <w:sz w:val="28"/>
                <w:szCs w:val="28"/>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59" w:type="dxa"/>
            <w:noWrap w:val="0"/>
            <w:vAlign w:val="center"/>
          </w:tcPr>
          <w:p>
            <w:pPr>
              <w:spacing w:line="400" w:lineRule="exact"/>
              <w:ind w:firstLine="0"/>
              <w:jc w:val="center"/>
              <w:rPr>
                <w:rFonts w:ascii="Times New Roman" w:eastAsia="仿宋_GB2312"/>
                <w:sz w:val="28"/>
                <w:szCs w:val="28"/>
              </w:rPr>
            </w:pPr>
            <w:r>
              <w:rPr>
                <w:rFonts w:ascii="Times New Roman" w:eastAsia="仿宋_GB2312"/>
                <w:sz w:val="28"/>
                <w:szCs w:val="28"/>
              </w:rPr>
              <w:t>6</w:t>
            </w:r>
          </w:p>
        </w:tc>
        <w:tc>
          <w:tcPr>
            <w:tcW w:w="3515" w:type="dxa"/>
            <w:noWrap w:val="0"/>
            <w:vAlign w:val="center"/>
          </w:tcPr>
          <w:p>
            <w:pPr>
              <w:widowControl/>
              <w:spacing w:line="400" w:lineRule="exact"/>
              <w:ind w:firstLine="0"/>
              <w:jc w:val="center"/>
              <w:textAlignment w:val="center"/>
              <w:rPr>
                <w:rFonts w:ascii="Times New Roman" w:eastAsia="仿宋_GB2312"/>
                <w:sz w:val="28"/>
                <w:szCs w:val="28"/>
                <w:lang w:bidi="ar"/>
              </w:rPr>
            </w:pPr>
            <w:r>
              <w:rPr>
                <w:rFonts w:ascii="Times New Roman" w:eastAsia="仿宋_GB2312"/>
                <w:sz w:val="28"/>
                <w:szCs w:val="28"/>
                <w:lang w:bidi="ar"/>
              </w:rPr>
              <w:t>姑苏以上领军人才</w:t>
            </w:r>
          </w:p>
        </w:tc>
        <w:tc>
          <w:tcPr>
            <w:tcW w:w="1020" w:type="dxa"/>
            <w:noWrap w:val="0"/>
            <w:vAlign w:val="center"/>
          </w:tcPr>
          <w:p>
            <w:pPr>
              <w:spacing w:line="400" w:lineRule="exact"/>
              <w:ind w:firstLine="0"/>
              <w:jc w:val="center"/>
              <w:rPr>
                <w:rFonts w:ascii="Times New Roman" w:eastAsia="仿宋_GB2312"/>
                <w:sz w:val="28"/>
                <w:szCs w:val="28"/>
              </w:rPr>
            </w:pPr>
            <w:r>
              <w:rPr>
                <w:rFonts w:ascii="Times New Roman" w:eastAsia="仿宋_GB2312"/>
                <w:sz w:val="28"/>
                <w:szCs w:val="28"/>
                <w:lang w:bidi="ar"/>
              </w:rPr>
              <w:t>人</w:t>
            </w:r>
          </w:p>
        </w:tc>
        <w:tc>
          <w:tcPr>
            <w:tcW w:w="1701" w:type="dxa"/>
            <w:noWrap w:val="0"/>
            <w:vAlign w:val="center"/>
          </w:tcPr>
          <w:p>
            <w:pPr>
              <w:spacing w:line="400" w:lineRule="exact"/>
              <w:ind w:firstLine="0"/>
              <w:jc w:val="center"/>
              <w:rPr>
                <w:rFonts w:hint="eastAsia" w:ascii="Times New Roman" w:eastAsia="仿宋_GB2312"/>
                <w:sz w:val="28"/>
                <w:szCs w:val="28"/>
              </w:rPr>
            </w:pPr>
            <w:r>
              <w:rPr>
                <w:rFonts w:hint="eastAsia" w:ascii="Times New Roman" w:eastAsia="仿宋_GB2312"/>
                <w:sz w:val="28"/>
                <w:szCs w:val="28"/>
              </w:rPr>
              <w:t>150</w:t>
            </w:r>
          </w:p>
        </w:tc>
        <w:tc>
          <w:tcPr>
            <w:tcW w:w="1701" w:type="dxa"/>
            <w:noWrap w:val="0"/>
            <w:vAlign w:val="center"/>
          </w:tcPr>
          <w:p>
            <w:pPr>
              <w:spacing w:line="400" w:lineRule="exact"/>
              <w:ind w:firstLine="0"/>
              <w:jc w:val="center"/>
              <w:rPr>
                <w:rFonts w:hint="eastAsia" w:ascii="Times New Roman" w:eastAsia="仿宋_GB2312"/>
                <w:sz w:val="28"/>
                <w:szCs w:val="28"/>
              </w:rPr>
            </w:pPr>
            <w:r>
              <w:rPr>
                <w:rFonts w:hint="eastAsia" w:ascii="Times New Roman" w:eastAsia="仿宋_GB2312"/>
                <w:sz w:val="28"/>
                <w:szCs w:val="28"/>
              </w:rPr>
              <w:t>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59" w:type="dxa"/>
            <w:noWrap w:val="0"/>
            <w:vAlign w:val="center"/>
          </w:tcPr>
          <w:p>
            <w:pPr>
              <w:spacing w:line="400" w:lineRule="exact"/>
              <w:ind w:firstLine="0"/>
              <w:jc w:val="center"/>
              <w:rPr>
                <w:rFonts w:ascii="Times New Roman" w:eastAsia="仿宋_GB2312"/>
                <w:sz w:val="28"/>
                <w:szCs w:val="28"/>
                <w:lang w:val="zh-CN"/>
              </w:rPr>
            </w:pPr>
            <w:r>
              <w:rPr>
                <w:rFonts w:ascii="Times New Roman" w:eastAsia="仿宋_GB2312"/>
                <w:sz w:val="28"/>
                <w:szCs w:val="28"/>
              </w:rPr>
              <w:t>7</w:t>
            </w:r>
          </w:p>
        </w:tc>
        <w:tc>
          <w:tcPr>
            <w:tcW w:w="3515" w:type="dxa"/>
            <w:noWrap w:val="0"/>
            <w:vAlign w:val="center"/>
          </w:tcPr>
          <w:p>
            <w:pPr>
              <w:widowControl/>
              <w:spacing w:line="400" w:lineRule="exact"/>
              <w:ind w:firstLine="0"/>
              <w:jc w:val="center"/>
              <w:textAlignment w:val="center"/>
              <w:rPr>
                <w:rFonts w:hint="eastAsia" w:ascii="Times New Roman" w:eastAsia="仿宋_GB2312"/>
                <w:sz w:val="28"/>
                <w:szCs w:val="28"/>
                <w:lang w:bidi="ar"/>
              </w:rPr>
            </w:pPr>
            <w:r>
              <w:rPr>
                <w:rFonts w:ascii="Times New Roman" w:eastAsia="仿宋_GB2312"/>
                <w:sz w:val="28"/>
                <w:szCs w:val="28"/>
                <w:lang w:bidi="ar"/>
              </w:rPr>
              <w:t>高新技术产业产值占</w:t>
            </w:r>
          </w:p>
          <w:p>
            <w:pPr>
              <w:widowControl/>
              <w:spacing w:line="400" w:lineRule="exact"/>
              <w:ind w:firstLine="0"/>
              <w:jc w:val="center"/>
              <w:textAlignment w:val="center"/>
              <w:rPr>
                <w:rFonts w:ascii="Times New Roman" w:eastAsia="仿宋_GB2312"/>
                <w:sz w:val="28"/>
                <w:szCs w:val="28"/>
                <w:lang w:bidi="ar"/>
              </w:rPr>
            </w:pPr>
            <w:r>
              <w:rPr>
                <w:rFonts w:ascii="Times New Roman" w:eastAsia="仿宋_GB2312"/>
                <w:sz w:val="28"/>
                <w:szCs w:val="28"/>
                <w:lang w:bidi="ar"/>
              </w:rPr>
              <w:t>规模以上工业总产值比重</w:t>
            </w:r>
          </w:p>
        </w:tc>
        <w:tc>
          <w:tcPr>
            <w:tcW w:w="1020" w:type="dxa"/>
            <w:noWrap w:val="0"/>
            <w:vAlign w:val="center"/>
          </w:tcPr>
          <w:p>
            <w:pPr>
              <w:spacing w:line="400" w:lineRule="exact"/>
              <w:ind w:firstLine="0"/>
              <w:jc w:val="center"/>
              <w:rPr>
                <w:rFonts w:ascii="Times New Roman" w:eastAsia="仿宋_GB2312"/>
                <w:sz w:val="28"/>
                <w:szCs w:val="28"/>
              </w:rPr>
            </w:pPr>
            <w:r>
              <w:rPr>
                <w:rStyle w:val="18"/>
                <w:rFonts w:hint="default" w:ascii="Times New Roman" w:hAnsi="Times New Roman" w:eastAsia="仿宋_GB2312"/>
                <w:sz w:val="28"/>
                <w:szCs w:val="28"/>
                <w:lang w:bidi="ar"/>
              </w:rPr>
              <w:t>%</w:t>
            </w:r>
          </w:p>
        </w:tc>
        <w:tc>
          <w:tcPr>
            <w:tcW w:w="1701" w:type="dxa"/>
            <w:noWrap w:val="0"/>
            <w:vAlign w:val="center"/>
          </w:tcPr>
          <w:p>
            <w:pPr>
              <w:spacing w:line="400" w:lineRule="exact"/>
              <w:ind w:firstLine="0"/>
              <w:jc w:val="center"/>
              <w:rPr>
                <w:rFonts w:hint="eastAsia" w:ascii="Times New Roman" w:eastAsia="仿宋_GB2312"/>
                <w:sz w:val="28"/>
                <w:szCs w:val="28"/>
              </w:rPr>
            </w:pPr>
            <w:r>
              <w:rPr>
                <w:rFonts w:hint="eastAsia" w:ascii="Times New Roman" w:eastAsia="仿宋_GB2312"/>
                <w:sz w:val="28"/>
                <w:szCs w:val="28"/>
              </w:rPr>
              <w:t>40</w:t>
            </w:r>
          </w:p>
        </w:tc>
        <w:tc>
          <w:tcPr>
            <w:tcW w:w="1701" w:type="dxa"/>
            <w:noWrap w:val="0"/>
            <w:vAlign w:val="center"/>
          </w:tcPr>
          <w:p>
            <w:pPr>
              <w:spacing w:line="400" w:lineRule="exact"/>
              <w:ind w:firstLine="0"/>
              <w:jc w:val="center"/>
              <w:rPr>
                <w:rFonts w:hint="eastAsia" w:ascii="Times New Roman" w:eastAsia="仿宋_GB2312"/>
                <w:sz w:val="28"/>
                <w:szCs w:val="28"/>
              </w:rPr>
            </w:pPr>
            <w:r>
              <w:rPr>
                <w:rFonts w:hint="eastAsia" w:ascii="Times New Roman" w:eastAsia="仿宋_GB2312"/>
                <w:sz w:val="28"/>
                <w:szCs w:val="2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59" w:type="dxa"/>
            <w:noWrap w:val="0"/>
            <w:vAlign w:val="center"/>
          </w:tcPr>
          <w:p>
            <w:pPr>
              <w:spacing w:line="400" w:lineRule="exact"/>
              <w:ind w:firstLine="0"/>
              <w:jc w:val="center"/>
              <w:rPr>
                <w:rFonts w:ascii="Times New Roman" w:eastAsia="仿宋_GB2312"/>
                <w:sz w:val="28"/>
                <w:szCs w:val="28"/>
                <w:lang w:val="zh-CN"/>
              </w:rPr>
            </w:pPr>
            <w:r>
              <w:rPr>
                <w:rFonts w:ascii="Times New Roman" w:eastAsia="仿宋_GB2312"/>
                <w:sz w:val="28"/>
                <w:szCs w:val="28"/>
              </w:rPr>
              <w:t>8</w:t>
            </w:r>
          </w:p>
        </w:tc>
        <w:tc>
          <w:tcPr>
            <w:tcW w:w="3515" w:type="dxa"/>
            <w:noWrap w:val="0"/>
            <w:vAlign w:val="center"/>
          </w:tcPr>
          <w:p>
            <w:pPr>
              <w:widowControl/>
              <w:spacing w:line="400" w:lineRule="exact"/>
              <w:ind w:firstLine="0"/>
              <w:jc w:val="center"/>
              <w:textAlignment w:val="center"/>
              <w:rPr>
                <w:rFonts w:ascii="Times New Roman" w:eastAsia="仿宋_GB2312"/>
                <w:sz w:val="28"/>
                <w:szCs w:val="28"/>
              </w:rPr>
            </w:pPr>
            <w:r>
              <w:rPr>
                <w:rFonts w:ascii="Times New Roman" w:eastAsia="仿宋_GB2312"/>
                <w:sz w:val="28"/>
                <w:szCs w:val="28"/>
                <w:lang w:bidi="ar"/>
              </w:rPr>
              <w:t>省级以上高新技术企业数</w:t>
            </w:r>
          </w:p>
        </w:tc>
        <w:tc>
          <w:tcPr>
            <w:tcW w:w="1020" w:type="dxa"/>
            <w:noWrap w:val="0"/>
            <w:vAlign w:val="center"/>
          </w:tcPr>
          <w:p>
            <w:pPr>
              <w:spacing w:line="400" w:lineRule="exact"/>
              <w:ind w:firstLine="0"/>
              <w:jc w:val="center"/>
              <w:rPr>
                <w:rFonts w:ascii="Times New Roman" w:eastAsia="仿宋_GB2312"/>
                <w:sz w:val="28"/>
                <w:szCs w:val="28"/>
              </w:rPr>
            </w:pPr>
            <w:r>
              <w:rPr>
                <w:rFonts w:hint="eastAsia" w:ascii="Times New Roman" w:eastAsia="仿宋_GB2312"/>
                <w:sz w:val="28"/>
                <w:szCs w:val="28"/>
              </w:rPr>
              <w:t>家</w:t>
            </w:r>
          </w:p>
        </w:tc>
        <w:tc>
          <w:tcPr>
            <w:tcW w:w="1701" w:type="dxa"/>
            <w:noWrap w:val="0"/>
            <w:vAlign w:val="center"/>
          </w:tcPr>
          <w:p>
            <w:pPr>
              <w:spacing w:line="400" w:lineRule="exact"/>
              <w:ind w:firstLine="0"/>
              <w:jc w:val="center"/>
              <w:rPr>
                <w:rFonts w:hint="eastAsia" w:ascii="Times New Roman" w:eastAsia="仿宋_GB2312"/>
                <w:sz w:val="28"/>
                <w:szCs w:val="28"/>
              </w:rPr>
            </w:pPr>
            <w:r>
              <w:rPr>
                <w:rFonts w:hint="eastAsia" w:ascii="Times New Roman" w:eastAsia="仿宋_GB2312"/>
                <w:sz w:val="28"/>
                <w:szCs w:val="28"/>
              </w:rPr>
              <w:t>360</w:t>
            </w:r>
          </w:p>
        </w:tc>
        <w:tc>
          <w:tcPr>
            <w:tcW w:w="1701" w:type="dxa"/>
            <w:noWrap w:val="0"/>
            <w:vAlign w:val="center"/>
          </w:tcPr>
          <w:p>
            <w:pPr>
              <w:spacing w:line="400" w:lineRule="exact"/>
              <w:ind w:firstLine="0"/>
              <w:jc w:val="center"/>
              <w:rPr>
                <w:rFonts w:hint="eastAsia" w:ascii="Times New Roman" w:eastAsia="仿宋_GB2312"/>
                <w:sz w:val="28"/>
                <w:szCs w:val="28"/>
              </w:rPr>
            </w:pPr>
            <w:r>
              <w:rPr>
                <w:rFonts w:hint="eastAsia" w:ascii="Times New Roman" w:eastAsia="仿宋_GB2312"/>
                <w:sz w:val="28"/>
                <w:szCs w:val="28"/>
              </w:rPr>
              <w:t>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59" w:type="dxa"/>
            <w:noWrap w:val="0"/>
            <w:vAlign w:val="center"/>
          </w:tcPr>
          <w:p>
            <w:pPr>
              <w:spacing w:line="400" w:lineRule="exact"/>
              <w:ind w:firstLine="0"/>
              <w:jc w:val="center"/>
              <w:rPr>
                <w:rFonts w:ascii="Times New Roman" w:eastAsia="仿宋_GB2312"/>
                <w:sz w:val="28"/>
                <w:szCs w:val="28"/>
                <w:lang w:val="zh-CN"/>
              </w:rPr>
            </w:pPr>
            <w:r>
              <w:rPr>
                <w:rFonts w:ascii="Times New Roman" w:eastAsia="仿宋_GB2312"/>
                <w:sz w:val="28"/>
                <w:szCs w:val="28"/>
              </w:rPr>
              <w:t>9</w:t>
            </w:r>
          </w:p>
        </w:tc>
        <w:tc>
          <w:tcPr>
            <w:tcW w:w="3515" w:type="dxa"/>
            <w:noWrap w:val="0"/>
            <w:vAlign w:val="center"/>
          </w:tcPr>
          <w:p>
            <w:pPr>
              <w:widowControl/>
              <w:spacing w:line="400" w:lineRule="exact"/>
              <w:ind w:firstLine="0"/>
              <w:jc w:val="center"/>
              <w:textAlignment w:val="center"/>
              <w:rPr>
                <w:rFonts w:ascii="Times New Roman" w:eastAsia="仿宋_GB2312"/>
                <w:sz w:val="28"/>
                <w:szCs w:val="28"/>
              </w:rPr>
            </w:pPr>
            <w:r>
              <w:rPr>
                <w:rFonts w:ascii="Times New Roman" w:eastAsia="仿宋_GB2312"/>
                <w:sz w:val="28"/>
                <w:szCs w:val="28"/>
                <w:lang w:bidi="ar"/>
              </w:rPr>
              <w:t>科技服务业规模</w:t>
            </w:r>
          </w:p>
        </w:tc>
        <w:tc>
          <w:tcPr>
            <w:tcW w:w="1020" w:type="dxa"/>
            <w:noWrap w:val="0"/>
            <w:vAlign w:val="center"/>
          </w:tcPr>
          <w:p>
            <w:pPr>
              <w:spacing w:line="400" w:lineRule="exact"/>
              <w:ind w:firstLine="0"/>
              <w:jc w:val="center"/>
              <w:rPr>
                <w:rFonts w:ascii="Times New Roman" w:eastAsia="仿宋_GB2312"/>
                <w:sz w:val="28"/>
                <w:szCs w:val="28"/>
              </w:rPr>
            </w:pPr>
            <w:r>
              <w:rPr>
                <w:rFonts w:ascii="Times New Roman" w:eastAsia="仿宋_GB2312"/>
                <w:sz w:val="28"/>
                <w:szCs w:val="28"/>
                <w:lang w:bidi="ar"/>
              </w:rPr>
              <w:t>亿元</w:t>
            </w:r>
          </w:p>
        </w:tc>
        <w:tc>
          <w:tcPr>
            <w:tcW w:w="1701" w:type="dxa"/>
            <w:noWrap w:val="0"/>
            <w:vAlign w:val="center"/>
          </w:tcPr>
          <w:p>
            <w:pPr>
              <w:spacing w:line="400" w:lineRule="exact"/>
              <w:ind w:firstLine="0"/>
              <w:jc w:val="center"/>
              <w:rPr>
                <w:rFonts w:hint="eastAsia" w:ascii="Times New Roman" w:eastAsia="仿宋_GB2312"/>
                <w:sz w:val="28"/>
                <w:szCs w:val="28"/>
              </w:rPr>
            </w:pPr>
            <w:r>
              <w:rPr>
                <w:rFonts w:hint="eastAsia" w:ascii="Times New Roman" w:eastAsia="仿宋_GB2312"/>
                <w:sz w:val="28"/>
                <w:szCs w:val="28"/>
              </w:rPr>
              <w:t>10</w:t>
            </w:r>
          </w:p>
        </w:tc>
        <w:tc>
          <w:tcPr>
            <w:tcW w:w="1701" w:type="dxa"/>
            <w:noWrap w:val="0"/>
            <w:vAlign w:val="center"/>
          </w:tcPr>
          <w:p>
            <w:pPr>
              <w:spacing w:line="400" w:lineRule="exact"/>
              <w:ind w:firstLine="0"/>
              <w:jc w:val="center"/>
              <w:rPr>
                <w:rFonts w:hint="eastAsia" w:ascii="Times New Roman" w:eastAsia="仿宋_GB2312"/>
                <w:sz w:val="28"/>
                <w:szCs w:val="28"/>
              </w:rPr>
            </w:pPr>
            <w:r>
              <w:rPr>
                <w:rFonts w:hint="eastAsia" w:ascii="Times New Roman" w:eastAsia="仿宋_GB2312"/>
                <w:sz w:val="28"/>
                <w:szCs w:val="2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59" w:type="dxa"/>
            <w:noWrap w:val="0"/>
            <w:vAlign w:val="center"/>
          </w:tcPr>
          <w:p>
            <w:pPr>
              <w:spacing w:line="400" w:lineRule="exact"/>
              <w:ind w:firstLine="0"/>
              <w:jc w:val="center"/>
              <w:rPr>
                <w:rFonts w:ascii="Times New Roman" w:eastAsia="仿宋_GB2312"/>
                <w:sz w:val="28"/>
                <w:szCs w:val="28"/>
                <w:lang w:val="zh-CN"/>
              </w:rPr>
            </w:pPr>
            <w:r>
              <w:rPr>
                <w:rFonts w:ascii="Times New Roman" w:eastAsia="仿宋_GB2312"/>
                <w:sz w:val="28"/>
                <w:szCs w:val="28"/>
              </w:rPr>
              <w:t>10</w:t>
            </w:r>
          </w:p>
        </w:tc>
        <w:tc>
          <w:tcPr>
            <w:tcW w:w="3515" w:type="dxa"/>
            <w:noWrap w:val="0"/>
            <w:vAlign w:val="center"/>
          </w:tcPr>
          <w:p>
            <w:pPr>
              <w:widowControl/>
              <w:spacing w:line="400" w:lineRule="exact"/>
              <w:ind w:firstLine="0"/>
              <w:jc w:val="center"/>
              <w:textAlignment w:val="center"/>
              <w:rPr>
                <w:rFonts w:ascii="Times New Roman" w:eastAsia="仿宋_GB2312"/>
                <w:sz w:val="28"/>
                <w:szCs w:val="28"/>
              </w:rPr>
            </w:pPr>
            <w:r>
              <w:rPr>
                <w:rFonts w:ascii="Times New Roman" w:eastAsia="仿宋_GB2312"/>
                <w:sz w:val="28"/>
                <w:szCs w:val="28"/>
                <w:lang w:bidi="ar"/>
              </w:rPr>
              <w:t>技术合同认定</w:t>
            </w:r>
          </w:p>
        </w:tc>
        <w:tc>
          <w:tcPr>
            <w:tcW w:w="1020" w:type="dxa"/>
            <w:noWrap w:val="0"/>
            <w:vAlign w:val="center"/>
          </w:tcPr>
          <w:p>
            <w:pPr>
              <w:spacing w:line="400" w:lineRule="exact"/>
              <w:ind w:firstLine="0"/>
              <w:jc w:val="center"/>
              <w:rPr>
                <w:rFonts w:ascii="Times New Roman" w:eastAsia="仿宋_GB2312"/>
                <w:sz w:val="28"/>
                <w:szCs w:val="28"/>
              </w:rPr>
            </w:pPr>
            <w:r>
              <w:rPr>
                <w:rFonts w:ascii="Times New Roman" w:eastAsia="仿宋_GB2312"/>
                <w:sz w:val="28"/>
                <w:szCs w:val="28"/>
                <w:lang w:bidi="ar"/>
              </w:rPr>
              <w:t>亿元</w:t>
            </w:r>
          </w:p>
        </w:tc>
        <w:tc>
          <w:tcPr>
            <w:tcW w:w="1701" w:type="dxa"/>
            <w:noWrap w:val="0"/>
            <w:vAlign w:val="center"/>
          </w:tcPr>
          <w:p>
            <w:pPr>
              <w:spacing w:line="400" w:lineRule="exact"/>
              <w:ind w:firstLine="0"/>
              <w:jc w:val="center"/>
              <w:rPr>
                <w:rFonts w:hint="eastAsia" w:ascii="Times New Roman" w:eastAsia="仿宋_GB2312"/>
                <w:sz w:val="28"/>
                <w:szCs w:val="28"/>
              </w:rPr>
            </w:pPr>
            <w:r>
              <w:rPr>
                <w:rFonts w:hint="eastAsia" w:ascii="Times New Roman" w:eastAsia="仿宋_GB2312"/>
                <w:sz w:val="28"/>
                <w:szCs w:val="28"/>
              </w:rPr>
              <w:t>10</w:t>
            </w:r>
          </w:p>
        </w:tc>
        <w:tc>
          <w:tcPr>
            <w:tcW w:w="1701" w:type="dxa"/>
            <w:noWrap w:val="0"/>
            <w:vAlign w:val="center"/>
          </w:tcPr>
          <w:p>
            <w:pPr>
              <w:spacing w:line="400" w:lineRule="exact"/>
              <w:ind w:firstLine="0"/>
              <w:jc w:val="center"/>
              <w:rPr>
                <w:rFonts w:hint="eastAsia" w:ascii="Times New Roman" w:eastAsia="仿宋_GB2312"/>
                <w:sz w:val="28"/>
                <w:szCs w:val="28"/>
              </w:rPr>
            </w:pPr>
            <w:r>
              <w:rPr>
                <w:rFonts w:hint="eastAsia" w:ascii="Times New Roman" w:eastAsia="仿宋_GB2312"/>
                <w:sz w:val="28"/>
                <w:szCs w:val="28"/>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59" w:type="dxa"/>
            <w:noWrap w:val="0"/>
            <w:vAlign w:val="center"/>
          </w:tcPr>
          <w:p>
            <w:pPr>
              <w:spacing w:line="400" w:lineRule="exact"/>
              <w:ind w:firstLine="0"/>
              <w:jc w:val="center"/>
              <w:rPr>
                <w:rFonts w:ascii="Times New Roman" w:eastAsia="仿宋_GB2312"/>
                <w:sz w:val="28"/>
                <w:szCs w:val="28"/>
                <w:lang w:val="zh-CN"/>
              </w:rPr>
            </w:pPr>
            <w:r>
              <w:rPr>
                <w:rFonts w:ascii="Times New Roman" w:eastAsia="仿宋_GB2312"/>
                <w:sz w:val="28"/>
                <w:szCs w:val="28"/>
              </w:rPr>
              <w:t>11</w:t>
            </w:r>
          </w:p>
        </w:tc>
        <w:tc>
          <w:tcPr>
            <w:tcW w:w="3515" w:type="dxa"/>
            <w:noWrap w:val="0"/>
            <w:vAlign w:val="center"/>
          </w:tcPr>
          <w:p>
            <w:pPr>
              <w:widowControl/>
              <w:spacing w:line="400" w:lineRule="exact"/>
              <w:ind w:firstLine="0"/>
              <w:jc w:val="center"/>
              <w:textAlignment w:val="center"/>
              <w:rPr>
                <w:rFonts w:hint="eastAsia" w:ascii="Times New Roman" w:eastAsia="仿宋_GB2312"/>
                <w:sz w:val="28"/>
                <w:szCs w:val="28"/>
                <w:lang w:bidi="ar"/>
              </w:rPr>
            </w:pPr>
            <w:r>
              <w:rPr>
                <w:rFonts w:ascii="Times New Roman" w:eastAsia="仿宋_GB2312"/>
                <w:sz w:val="28"/>
                <w:szCs w:val="28"/>
                <w:lang w:bidi="ar"/>
              </w:rPr>
              <w:t>规上工业企业研发机构</w:t>
            </w:r>
          </w:p>
          <w:p>
            <w:pPr>
              <w:widowControl/>
              <w:spacing w:line="400" w:lineRule="exact"/>
              <w:ind w:firstLine="0"/>
              <w:jc w:val="center"/>
              <w:textAlignment w:val="center"/>
              <w:rPr>
                <w:rFonts w:ascii="Times New Roman" w:eastAsia="仿宋_GB2312"/>
                <w:sz w:val="28"/>
                <w:szCs w:val="28"/>
                <w:lang w:bidi="ar"/>
              </w:rPr>
            </w:pPr>
            <w:r>
              <w:rPr>
                <w:rFonts w:ascii="Times New Roman" w:eastAsia="仿宋_GB2312"/>
                <w:sz w:val="28"/>
                <w:szCs w:val="28"/>
                <w:lang w:bidi="ar"/>
              </w:rPr>
              <w:t>建有率</w:t>
            </w:r>
          </w:p>
        </w:tc>
        <w:tc>
          <w:tcPr>
            <w:tcW w:w="1020" w:type="dxa"/>
            <w:noWrap w:val="0"/>
            <w:vAlign w:val="center"/>
          </w:tcPr>
          <w:p>
            <w:pPr>
              <w:spacing w:line="400" w:lineRule="exact"/>
              <w:ind w:firstLine="0"/>
              <w:jc w:val="center"/>
              <w:rPr>
                <w:rFonts w:ascii="Times New Roman" w:eastAsia="仿宋_GB2312"/>
                <w:sz w:val="28"/>
                <w:szCs w:val="28"/>
              </w:rPr>
            </w:pPr>
            <w:r>
              <w:rPr>
                <w:rStyle w:val="18"/>
                <w:rFonts w:hint="default" w:ascii="Times New Roman" w:hAnsi="Times New Roman" w:eastAsia="仿宋_GB2312"/>
                <w:sz w:val="28"/>
                <w:szCs w:val="28"/>
                <w:lang w:bidi="ar"/>
              </w:rPr>
              <w:t>%</w:t>
            </w:r>
          </w:p>
        </w:tc>
        <w:tc>
          <w:tcPr>
            <w:tcW w:w="1701" w:type="dxa"/>
            <w:noWrap w:val="0"/>
            <w:vAlign w:val="center"/>
          </w:tcPr>
          <w:p>
            <w:pPr>
              <w:spacing w:line="400" w:lineRule="exact"/>
              <w:ind w:firstLine="0"/>
              <w:jc w:val="center"/>
              <w:rPr>
                <w:rFonts w:hint="eastAsia" w:ascii="Times New Roman" w:eastAsia="仿宋_GB2312"/>
                <w:sz w:val="28"/>
                <w:szCs w:val="28"/>
              </w:rPr>
            </w:pPr>
            <w:r>
              <w:rPr>
                <w:rFonts w:hint="eastAsia" w:ascii="Times New Roman" w:eastAsia="仿宋_GB2312"/>
                <w:sz w:val="28"/>
                <w:szCs w:val="28"/>
              </w:rPr>
              <w:t>35</w:t>
            </w:r>
          </w:p>
        </w:tc>
        <w:tc>
          <w:tcPr>
            <w:tcW w:w="1701" w:type="dxa"/>
            <w:noWrap w:val="0"/>
            <w:vAlign w:val="center"/>
          </w:tcPr>
          <w:p>
            <w:pPr>
              <w:spacing w:line="400" w:lineRule="exact"/>
              <w:ind w:firstLine="0"/>
              <w:jc w:val="center"/>
              <w:rPr>
                <w:rFonts w:hint="eastAsia" w:ascii="Times New Roman" w:eastAsia="仿宋_GB2312"/>
                <w:sz w:val="28"/>
                <w:szCs w:val="28"/>
              </w:rPr>
            </w:pPr>
            <w:r>
              <w:rPr>
                <w:rFonts w:hint="eastAsia" w:ascii="Times New Roman" w:eastAsia="仿宋_GB2312"/>
                <w:sz w:val="28"/>
                <w:szCs w:val="28"/>
              </w:rPr>
              <w:t>50</w:t>
            </w:r>
          </w:p>
        </w:tc>
      </w:tr>
    </w:tbl>
    <w:p>
      <w:pPr>
        <w:spacing w:line="590" w:lineRule="exact"/>
        <w:ind w:firstLine="680" w:firstLineChars="200"/>
        <w:jc w:val="left"/>
        <w:rPr>
          <w:rFonts w:ascii="Times New Roman" w:eastAsia="方正仿宋_GBK"/>
          <w:color w:val="000000"/>
          <w:sz w:val="34"/>
          <w:szCs w:val="34"/>
          <w:lang w:val="zh-CN"/>
        </w:rPr>
      </w:pPr>
    </w:p>
    <w:p>
      <w:pPr>
        <w:pStyle w:val="14"/>
        <w:rPr>
          <w:rFonts w:ascii="Times New Roman"/>
        </w:rPr>
      </w:pPr>
      <w:r>
        <w:rPr>
          <w:rFonts w:ascii="Times New Roman" w:eastAsia="方正仿宋_GBK"/>
          <w:color w:val="000000"/>
          <w:sz w:val="34"/>
          <w:szCs w:val="34"/>
          <w:lang w:val="zh-CN"/>
        </w:rPr>
        <w:br w:type="page"/>
      </w:r>
      <w:bookmarkStart w:id="19" w:name="_Toc6127_WPSOffice_Level1"/>
      <w:bookmarkStart w:id="20" w:name="_Toc13110"/>
      <w:bookmarkStart w:id="21" w:name="_Toc31122_WPSOffice_Level1"/>
      <w:bookmarkStart w:id="22" w:name="_Toc89090190"/>
      <w:r>
        <w:rPr>
          <w:rFonts w:ascii="Times New Roman"/>
        </w:rPr>
        <w:t>第二章</w:t>
      </w:r>
      <w:r>
        <w:rPr>
          <w:rFonts w:hint="eastAsia" w:ascii="Times New Roman"/>
          <w:b/>
        </w:rPr>
        <w:t xml:space="preserve"> </w:t>
      </w:r>
      <w:r>
        <w:rPr>
          <w:rFonts w:ascii="Times New Roman"/>
        </w:rPr>
        <w:t>立足新发展阶段，担当科技创新新使命</w:t>
      </w:r>
      <w:bookmarkEnd w:id="19"/>
      <w:bookmarkEnd w:id="20"/>
      <w:bookmarkEnd w:id="21"/>
      <w:bookmarkEnd w:id="22"/>
    </w:p>
    <w:p>
      <w:pPr>
        <w:spacing w:line="560" w:lineRule="exact"/>
        <w:ind w:firstLine="680" w:firstLineChars="200"/>
        <w:jc w:val="center"/>
        <w:rPr>
          <w:rFonts w:ascii="Times New Roman" w:eastAsia="方正黑体_GBK"/>
          <w:sz w:val="34"/>
          <w:szCs w:val="34"/>
        </w:rPr>
      </w:pPr>
    </w:p>
    <w:p>
      <w:pPr>
        <w:pStyle w:val="17"/>
        <w:ind w:firstLine="630"/>
        <w:rPr>
          <w:rFonts w:ascii="Times New Roman" w:hAnsi="Times New Roman"/>
        </w:rPr>
      </w:pPr>
      <w:bookmarkStart w:id="23" w:name="_Toc28680"/>
      <w:bookmarkStart w:id="24" w:name="_Toc89090191"/>
      <w:bookmarkStart w:id="25" w:name="_Toc22412_WPSOffice_Level2"/>
      <w:bookmarkStart w:id="26" w:name="_Toc19979_WPSOffice_Level2"/>
      <w:r>
        <w:rPr>
          <w:rFonts w:ascii="Times New Roman" w:hAnsi="Times New Roman"/>
        </w:rPr>
        <w:t>一、准确把握国家战略叠加机遇</w:t>
      </w:r>
      <w:bookmarkEnd w:id="23"/>
      <w:bookmarkEnd w:id="24"/>
      <w:bookmarkEnd w:id="25"/>
      <w:bookmarkEnd w:id="26"/>
    </w:p>
    <w:p>
      <w:pPr>
        <w:pStyle w:val="15"/>
        <w:ind w:firstLine="633"/>
        <w:rPr>
          <w:rFonts w:hint="eastAsia"/>
        </w:rPr>
      </w:pPr>
      <w:r>
        <w:rPr>
          <w:rFonts w:hint="eastAsia"/>
          <w:b/>
          <w:bCs/>
        </w:rPr>
        <w:t>从国际看</w:t>
      </w:r>
      <w:r>
        <w:rPr>
          <w:rFonts w:hint="eastAsia"/>
        </w:rPr>
        <w:t>，美国对多国发起的贸易战和对全球多边体系的破坏，使得世界经济增长疲软、国际贸易纷繁复杂，国际政治生态趋于动荡。面对贸易保护主义的冲击，必须促进科技协同创新，加强全球产业链合作，进一步带动生产要素全球流动，推动新一轮经济全球化健康发展。</w:t>
      </w:r>
      <w:r>
        <w:rPr>
          <w:rFonts w:hint="eastAsia"/>
          <w:b/>
          <w:bCs/>
        </w:rPr>
        <w:t>“十四五”期间，太仓要放大格局，加大开放势头，打好“中德合作”金字招牌，围绕高端装备制造、新材料、生物医药等产业领域，构建更加开放高效的协同创新格局，积极融入世界产业链布局。</w:t>
      </w:r>
    </w:p>
    <w:p>
      <w:pPr>
        <w:pStyle w:val="15"/>
        <w:ind w:firstLine="633"/>
        <w:rPr>
          <w:rFonts w:hint="eastAsia"/>
        </w:rPr>
      </w:pPr>
      <w:r>
        <w:rPr>
          <w:rFonts w:hint="eastAsia"/>
          <w:b/>
          <w:bCs/>
        </w:rPr>
        <w:t>从国内看</w:t>
      </w:r>
      <w:r>
        <w:rPr>
          <w:rFonts w:hint="eastAsia"/>
        </w:rPr>
        <w:t>，世界知识产权组织（WIPO）评估显示，我国创新指数位居世界第14位，整体创新能力大幅提升，创新型国家建设进入新阶段。长三角地区是我国经济发展最活跃、开放程度最高、创新能力最强的区域之一，太仓是江苏进入上海的重要交通枢纽节点城市，</w:t>
      </w:r>
      <w:r>
        <w:rPr>
          <w:rFonts w:hint="eastAsia"/>
          <w:b/>
          <w:bCs/>
        </w:rPr>
        <w:t>“十四五”期间，太仓要紧扣一体化和高质量两个关键词，加快融入长三角区域一体化发展，发挥好区位优势，围绕区域创新一体化布局，在科技创新、产业协同、人才交流、成果对接、资源共享等方面加强合作，形成优势互补、高质量发展的区域经济布局。</w:t>
      </w:r>
      <w:bookmarkStart w:id="27" w:name="_Toc23502_WPSOffice_Level2"/>
    </w:p>
    <w:p>
      <w:pPr>
        <w:pStyle w:val="15"/>
        <w:ind w:firstLine="633"/>
        <w:rPr>
          <w:rFonts w:hint="eastAsia"/>
          <w:b/>
          <w:bCs/>
        </w:rPr>
      </w:pPr>
      <w:r>
        <w:rPr>
          <w:rFonts w:hint="eastAsia"/>
          <w:b/>
          <w:bCs/>
        </w:rPr>
        <w:t>从太仓看</w:t>
      </w:r>
      <w:r>
        <w:rPr>
          <w:rFonts w:hint="eastAsia"/>
        </w:rPr>
        <w:t>，</w:t>
      </w:r>
      <w:bookmarkEnd w:id="27"/>
      <w:r>
        <w:rPr>
          <w:rFonts w:hint="eastAsia"/>
        </w:rPr>
        <w:t>作为苏州地区各板块经济发展最具活跃的地区之一，区域经济增速指标常位居苏州市域前列。太仓高新区多年位居省级高新区综合评价前列，但科技创新指标增速方面相对于昆山、宜兴等区域还有待增强。</w:t>
      </w:r>
      <w:r>
        <w:rPr>
          <w:rFonts w:hint="eastAsia"/>
          <w:b/>
          <w:bCs/>
        </w:rPr>
        <w:t>“十四五”期间，太仓要围绕</w:t>
      </w:r>
      <w:r>
        <w:rPr>
          <w:rFonts w:hint="eastAsia"/>
          <w:b/>
        </w:rPr>
        <w:t>“两个高于”“上海下一站、下一站上海”</w:t>
      </w:r>
      <w:r>
        <w:rPr>
          <w:rFonts w:hint="eastAsia"/>
          <w:b/>
          <w:bCs/>
        </w:rPr>
        <w:t>建设目标，坚定不移推进创新转型。以高端装备制造、新材料产业为主导，以生物医药、航空航天产业为先导，积极推动数字产业发展，深入实施“大院大所”战略，加速推进西北工业大学太仓校区、西交利物浦太仓校区建设，更大力度、更广范围集聚高端创新资源要素，全力创建国家级高新区，充分发挥科技创新对经济发展支撑引领作用。</w:t>
      </w:r>
    </w:p>
    <w:p>
      <w:pPr>
        <w:pStyle w:val="17"/>
        <w:ind w:firstLine="630"/>
        <w:rPr>
          <w:rFonts w:ascii="Times New Roman" w:hAnsi="Times New Roman"/>
        </w:rPr>
      </w:pPr>
      <w:bookmarkStart w:id="28" w:name="_Toc89090192"/>
      <w:bookmarkStart w:id="29" w:name="_Toc24615_WPSOffice_Level2"/>
      <w:bookmarkStart w:id="30" w:name="_Toc20258"/>
      <w:bookmarkStart w:id="31" w:name="_Toc21904_WPSOffice_Level2"/>
      <w:r>
        <w:rPr>
          <w:rFonts w:ascii="Times New Roman" w:hAnsi="Times New Roman"/>
        </w:rPr>
        <w:t>二、准确分析研判问题短板</w:t>
      </w:r>
      <w:bookmarkEnd w:id="28"/>
      <w:bookmarkEnd w:id="29"/>
      <w:bookmarkEnd w:id="30"/>
      <w:bookmarkEnd w:id="31"/>
    </w:p>
    <w:p>
      <w:pPr>
        <w:pStyle w:val="15"/>
        <w:rPr>
          <w:rFonts w:hint="eastAsia"/>
        </w:rPr>
      </w:pPr>
      <w:r>
        <w:rPr>
          <w:rFonts w:hint="eastAsia"/>
        </w:rPr>
        <w:t>“十三五”期间，太仓科技创新工作在高速发展的同时，也存在着诸多问题短板：</w:t>
      </w:r>
      <w:r>
        <w:rPr>
          <w:rFonts w:hint="eastAsia"/>
          <w:b/>
        </w:rPr>
        <w:t>一是创新资源利用效率有待提高。</w:t>
      </w:r>
      <w:r>
        <w:rPr>
          <w:rFonts w:hint="eastAsia"/>
        </w:rPr>
        <w:t>创新载体孵化效率不高，专业度不够，科创载体竞争力不强。新引进西北工业大学和西交利物浦大学尚处起步阶段，创新要素溢出还需较长时间。</w:t>
      </w:r>
      <w:r>
        <w:rPr>
          <w:rFonts w:hint="eastAsia"/>
          <w:b/>
        </w:rPr>
        <w:t>二是产业竞争力还不够强。</w:t>
      </w:r>
      <w:r>
        <w:rPr>
          <w:rFonts w:hint="eastAsia"/>
        </w:rPr>
        <w:t>主导产业领域分散，不够聚焦，没有形成特色产业集群。部分大型企业还处于生产加工制造环节，部分产品仍处于全球分工的中下游，核心竞争力不强。外资企业研发本土化仍然较少，民营企业创新动力不足，创新产出较低。</w:t>
      </w:r>
      <w:r>
        <w:rPr>
          <w:rFonts w:hint="eastAsia"/>
          <w:b/>
        </w:rPr>
        <w:t>三是区域发展存在不平衡。</w:t>
      </w:r>
      <w:r>
        <w:rPr>
          <w:rFonts w:hint="eastAsia"/>
        </w:rPr>
        <w:t>高新区和科教新城创新资源比较集中，港区和各乡镇街道以加工企业为主，对科技型中小企业吸引较弱。</w:t>
      </w:r>
      <w:r>
        <w:rPr>
          <w:rFonts w:hint="eastAsia"/>
          <w:b/>
        </w:rPr>
        <w:t>四是创新创业环境比较优势仍然不突出。</w:t>
      </w:r>
      <w:r>
        <w:rPr>
          <w:rFonts w:hint="eastAsia"/>
        </w:rPr>
        <w:t>面对苏州各县市日趋激烈的竞争环境，太仓科技创新缺乏比较优势，人才吸引力度不够，孵化器链条有待健全。</w:t>
      </w:r>
      <w:r>
        <w:rPr>
          <w:rFonts w:hint="eastAsia"/>
          <w:b/>
        </w:rPr>
        <w:t>五是农业科技创新能力不强。</w:t>
      </w:r>
      <w:r>
        <w:rPr>
          <w:rFonts w:hint="eastAsia"/>
        </w:rPr>
        <w:t>农业技术与信息化、机械化、智能化结合度不高，农业科技型企业数量少，农业科技支撑体系还不够健全，农业科技成果转化规模效应尚不显著。</w:t>
      </w:r>
      <w:bookmarkStart w:id="32" w:name="_Toc28852_WPSOffice_Level1"/>
    </w:p>
    <w:p>
      <w:pPr>
        <w:pStyle w:val="14"/>
        <w:rPr>
          <w:rFonts w:ascii="Times New Roman"/>
        </w:rPr>
      </w:pPr>
      <w:r>
        <w:rPr>
          <w:rStyle w:val="19"/>
          <w:rFonts w:ascii="Times New Roman" w:eastAsia="方正小标宋_GBK"/>
          <w:b w:val="0"/>
          <w:szCs w:val="22"/>
        </w:rPr>
        <w:br w:type="page"/>
      </w:r>
      <w:bookmarkStart w:id="33" w:name="_Toc25315_WPSOffice_Level1"/>
      <w:bookmarkStart w:id="34" w:name="_Toc9879"/>
      <w:bookmarkStart w:id="35" w:name="_Toc89090193"/>
      <w:r>
        <w:rPr>
          <w:rFonts w:ascii="Times New Roman"/>
        </w:rPr>
        <w:t>第三章</w:t>
      </w:r>
      <w:r>
        <w:rPr>
          <w:rFonts w:hint="eastAsia" w:ascii="Times New Roman"/>
        </w:rPr>
        <w:t xml:space="preserve"> </w:t>
      </w:r>
      <w:r>
        <w:rPr>
          <w:rFonts w:ascii="Times New Roman"/>
        </w:rPr>
        <w:t>贯彻新发展理念，开启科技创新新征程</w:t>
      </w:r>
      <w:bookmarkEnd w:id="32"/>
      <w:bookmarkEnd w:id="33"/>
      <w:bookmarkEnd w:id="34"/>
      <w:bookmarkEnd w:id="35"/>
    </w:p>
    <w:p>
      <w:pPr>
        <w:spacing w:line="560" w:lineRule="exact"/>
        <w:jc w:val="center"/>
        <w:rPr>
          <w:rFonts w:ascii="Times New Roman" w:eastAsia="方正黑体_GBK"/>
          <w:sz w:val="34"/>
          <w:szCs w:val="34"/>
        </w:rPr>
      </w:pPr>
    </w:p>
    <w:p>
      <w:pPr>
        <w:pStyle w:val="17"/>
        <w:ind w:firstLine="630"/>
        <w:rPr>
          <w:rFonts w:ascii="Times New Roman" w:hAnsi="Times New Roman"/>
        </w:rPr>
      </w:pPr>
      <w:bookmarkStart w:id="36" w:name="_Toc6767_WPSOffice_Level2"/>
      <w:bookmarkStart w:id="37" w:name="_Toc24986"/>
      <w:bookmarkStart w:id="38" w:name="_Toc89090194"/>
      <w:bookmarkStart w:id="39" w:name="_Toc10993_WPSOffice_Level2"/>
      <w:r>
        <w:rPr>
          <w:rFonts w:ascii="Times New Roman" w:hAnsi="Times New Roman"/>
        </w:rPr>
        <w:t>一、指导思想</w:t>
      </w:r>
      <w:bookmarkEnd w:id="36"/>
      <w:bookmarkEnd w:id="37"/>
      <w:bookmarkEnd w:id="38"/>
      <w:bookmarkEnd w:id="39"/>
    </w:p>
    <w:p>
      <w:pPr>
        <w:pStyle w:val="15"/>
        <w:rPr>
          <w:rFonts w:hint="eastAsia"/>
        </w:rPr>
      </w:pPr>
      <w:r>
        <w:rPr>
          <w:rFonts w:hint="eastAsia"/>
        </w:rPr>
        <w:t>高举习近平新时代中国特色社会主义思想伟大旗帜，深入贯彻习近平总书记“七一”重要讲话精神，深入落实习近平总书记对江苏工作系列重要讲话指示精神，践行“争当表率、争做示范、走在前列”新使命新要求，围绕高质量建设“两地两城”目标定位，以“两校多院”建设为契机，筑高人才蓄水池；以中德国际合作为依托，深化全球科技创新合作；以长三角一体化为牵引，深度融入上海科创中心建设；以苏南自主创新示范区建设为抓手，聚焦核心，推动太仓在长三角区域创新地位提升；以科技创新为核心带动全域创新，奋力拼出“太仓速度”，为太仓开启社会主义现代化新征程提供有力科技支撑和强大动力。</w:t>
      </w:r>
    </w:p>
    <w:p>
      <w:pPr>
        <w:pStyle w:val="17"/>
        <w:ind w:firstLine="630"/>
        <w:rPr>
          <w:rFonts w:ascii="Times New Roman" w:hAnsi="Times New Roman"/>
        </w:rPr>
      </w:pPr>
      <w:bookmarkStart w:id="40" w:name="_Toc12197_WPSOffice_Level2"/>
      <w:bookmarkStart w:id="41" w:name="_Toc89090195"/>
      <w:bookmarkStart w:id="42" w:name="_Toc25996_WPSOffice_Level2"/>
      <w:bookmarkStart w:id="43" w:name="_Toc19800"/>
      <w:r>
        <w:rPr>
          <w:rFonts w:ascii="Times New Roman" w:hAnsi="Times New Roman"/>
        </w:rPr>
        <w:t>二、战略定位</w:t>
      </w:r>
      <w:bookmarkEnd w:id="40"/>
      <w:bookmarkEnd w:id="41"/>
      <w:bookmarkEnd w:id="42"/>
      <w:bookmarkEnd w:id="43"/>
    </w:p>
    <w:p>
      <w:pPr>
        <w:pStyle w:val="15"/>
        <w:rPr>
          <w:rFonts w:hint="eastAsia"/>
        </w:rPr>
      </w:pPr>
      <w:r>
        <w:rPr>
          <w:rFonts w:hint="eastAsia"/>
        </w:rPr>
        <w:t>至2025年，</w:t>
      </w:r>
      <w:r>
        <w:rPr>
          <w:rFonts w:hint="eastAsia"/>
          <w:b/>
        </w:rPr>
        <w:t>基本建成全国开放创新县级标杆、长三角创新发展样板区、临沪创业创新人才新高地，成为具有综合竞争力的国家级创新型县（市）。</w:t>
      </w:r>
    </w:p>
    <w:p>
      <w:pPr>
        <w:pStyle w:val="17"/>
        <w:ind w:firstLine="630"/>
        <w:rPr>
          <w:rFonts w:ascii="Times New Roman" w:hAnsi="Times New Roman"/>
        </w:rPr>
      </w:pPr>
      <w:bookmarkStart w:id="44" w:name="_Toc17444_WPSOffice_Level2"/>
      <w:bookmarkStart w:id="45" w:name="_Toc20733"/>
      <w:bookmarkStart w:id="46" w:name="_Toc89090196"/>
      <w:bookmarkStart w:id="47" w:name="_Toc26243_WPSOffice_Level2"/>
      <w:r>
        <w:rPr>
          <w:rFonts w:ascii="Times New Roman" w:hAnsi="Times New Roman"/>
        </w:rPr>
        <w:t>三、发展原则</w:t>
      </w:r>
      <w:bookmarkEnd w:id="44"/>
      <w:bookmarkEnd w:id="45"/>
      <w:bookmarkEnd w:id="46"/>
      <w:bookmarkEnd w:id="47"/>
    </w:p>
    <w:p>
      <w:pPr>
        <w:pStyle w:val="15"/>
        <w:ind w:firstLine="633"/>
        <w:rPr>
          <w:rFonts w:hint="eastAsia"/>
          <w:b/>
          <w:bCs/>
        </w:rPr>
      </w:pPr>
      <w:r>
        <w:rPr>
          <w:rFonts w:hint="eastAsia"/>
          <w:b/>
          <w:bCs/>
        </w:rPr>
        <w:t>坚持布局科创生态。</w:t>
      </w:r>
      <w:r>
        <w:rPr>
          <w:rFonts w:hint="eastAsia"/>
        </w:rPr>
        <w:t>遵循创新发展规律和区域创新体系建设规律，加强顶层设计布局，破除制约创新驱动发展的体制机制障碍，切实推动重大改革创新举措，优化创新生态环境和创新治理体系，大幅增强创新发展动力和活力。</w:t>
      </w:r>
    </w:p>
    <w:p>
      <w:pPr>
        <w:pStyle w:val="15"/>
        <w:ind w:firstLine="633"/>
        <w:rPr>
          <w:rFonts w:hint="eastAsia"/>
        </w:rPr>
      </w:pPr>
      <w:r>
        <w:rPr>
          <w:rFonts w:hint="eastAsia"/>
          <w:b/>
          <w:bCs/>
        </w:rPr>
        <w:t>坚持开放区域协同。</w:t>
      </w:r>
      <w:r>
        <w:rPr>
          <w:rFonts w:hint="eastAsia"/>
        </w:rPr>
        <w:t>促进生产要素、人才要素、创新要素开放共享，做自己能做的，做自己擅长的，深度融入长三角一体化发展和上海“大虹桥”商务枢纽建设，在创新链条上主动开放，引进来，走出去，建立更为广阔的朋友圈。</w:t>
      </w:r>
    </w:p>
    <w:p>
      <w:pPr>
        <w:pStyle w:val="15"/>
        <w:ind w:firstLine="633"/>
        <w:rPr>
          <w:rFonts w:hint="eastAsia"/>
          <w:b/>
          <w:bCs/>
        </w:rPr>
      </w:pPr>
      <w:r>
        <w:rPr>
          <w:rFonts w:hint="eastAsia"/>
          <w:b/>
          <w:bCs/>
        </w:rPr>
        <w:t>坚持培育创新主体。</w:t>
      </w:r>
      <w:r>
        <w:rPr>
          <w:rFonts w:hint="eastAsia"/>
        </w:rPr>
        <w:t>夯实企业创新主体地位，发挥市场对技术研发方向、路线选择和各类创新资源配置的导向作用，完善对中小微企业创新的支持方式。</w:t>
      </w:r>
    </w:p>
    <w:p>
      <w:pPr>
        <w:pStyle w:val="15"/>
        <w:ind w:firstLine="633"/>
        <w:rPr>
          <w:rFonts w:hint="eastAsia"/>
        </w:rPr>
      </w:pPr>
      <w:r>
        <w:rPr>
          <w:rFonts w:hint="eastAsia"/>
          <w:b/>
          <w:bCs/>
        </w:rPr>
        <w:t>坚持人才强市战略。</w:t>
      </w:r>
      <w:r>
        <w:rPr>
          <w:rFonts w:hint="eastAsia"/>
        </w:rPr>
        <w:t>强化人才是创新第一资源地位，加强招引与培育并重。优化人才评价体系，探索更先进的人才评价机制，持续淘汰更新，让人才既有活力又有定力。</w:t>
      </w:r>
    </w:p>
    <w:p>
      <w:pPr>
        <w:pStyle w:val="17"/>
        <w:ind w:firstLine="630"/>
        <w:rPr>
          <w:rFonts w:ascii="Times New Roman" w:hAnsi="Times New Roman"/>
        </w:rPr>
      </w:pPr>
      <w:bookmarkStart w:id="48" w:name="_Toc89090197"/>
      <w:bookmarkStart w:id="49" w:name="_Toc13128_WPSOffice_Level2"/>
      <w:bookmarkStart w:id="50" w:name="_Toc23008"/>
      <w:bookmarkStart w:id="51" w:name="_Toc3110_WPSOffice_Level2"/>
      <w:r>
        <w:rPr>
          <w:rFonts w:ascii="Times New Roman" w:hAnsi="Times New Roman"/>
        </w:rPr>
        <w:t>四、发展目标</w:t>
      </w:r>
      <w:bookmarkEnd w:id="48"/>
      <w:bookmarkEnd w:id="49"/>
      <w:bookmarkEnd w:id="50"/>
      <w:bookmarkEnd w:id="51"/>
    </w:p>
    <w:p>
      <w:pPr>
        <w:pStyle w:val="15"/>
        <w:rPr>
          <w:rFonts w:hint="eastAsia"/>
        </w:rPr>
      </w:pPr>
      <w:r>
        <w:rPr>
          <w:rFonts w:hint="eastAsia"/>
        </w:rPr>
        <w:t>以省、苏州市、太仓市党代会精神为指导，按照太仓市“十四五”发展规划纲要，树立拼出“太仓速度”的勇气，聚力创新，优化现代产业体系，加快实现更高水平科技自立自强。到2025年，主要创新指标达到创新型国家和地区中等以上水平，创新生态和科技创新体制机制优势彰显，产业特色鲜明，围绕高质量发展考核、创新发展专项考核，确保牢牢坐稳全省、苏州市综合考核第一方阵，高水平建设临沪科创产业高地。主要表现在四个方面：</w:t>
      </w:r>
    </w:p>
    <w:p>
      <w:pPr>
        <w:pStyle w:val="15"/>
        <w:ind w:firstLine="633"/>
        <w:rPr>
          <w:rFonts w:hint="eastAsia"/>
        </w:rPr>
      </w:pPr>
      <w:r>
        <w:rPr>
          <w:rFonts w:hint="eastAsia"/>
          <w:b/>
          <w:bCs/>
        </w:rPr>
        <w:t>创新驱动经济发展优势彰显。</w:t>
      </w:r>
      <w:r>
        <w:rPr>
          <w:rFonts w:hint="eastAsia"/>
        </w:rPr>
        <w:t>全社会研发投入超苏南地区平均水平，研发经费支出占GDP比重达4.2%，科技进步贡献率超70%，高新技术产业产值占规模以上工业产值比重达52%，万人高价值发明专利拥有量超30件，经济社会发展持续向好。</w:t>
      </w:r>
    </w:p>
    <w:p>
      <w:pPr>
        <w:pStyle w:val="15"/>
        <w:ind w:firstLine="633"/>
        <w:rPr>
          <w:rFonts w:hint="eastAsia"/>
          <w:color w:val="FF0000"/>
        </w:rPr>
      </w:pPr>
      <w:r>
        <w:rPr>
          <w:rFonts w:hint="eastAsia"/>
          <w:b/>
          <w:bCs/>
        </w:rPr>
        <w:t>创新引领产业绿色高端发展。</w:t>
      </w:r>
      <w:r>
        <w:rPr>
          <w:rFonts w:hint="eastAsia"/>
        </w:rPr>
        <w:t>创新型企业森林逐步壮大，科技型中小企业、高新技术企业良性发展，科技型中小企业超1500家，高新技术企业数超1600家。主导产业向高端攀升，在长三角产业链中地位凸显。企业研发水平位居苏南地区上游，自主可控技术引领企业创新发展。</w:t>
      </w:r>
    </w:p>
    <w:p>
      <w:pPr>
        <w:pStyle w:val="15"/>
        <w:ind w:firstLine="633"/>
        <w:rPr>
          <w:rFonts w:hint="eastAsia"/>
        </w:rPr>
      </w:pPr>
      <w:r>
        <w:rPr>
          <w:rFonts w:hint="eastAsia"/>
          <w:b/>
          <w:bCs/>
        </w:rPr>
        <w:t>创新孕育生态文明更加健康。</w:t>
      </w:r>
      <w:r>
        <w:rPr>
          <w:rFonts w:hint="eastAsia"/>
        </w:rPr>
        <w:t>创新创业环境更加优化，人才素质普遍提高，创新载体、创新平台、孵化链条逐步完善，到2025年，苏州市级以上孵化器突破20家。全社会基本形成尊重知识、崇尚创新、激励创业、宽容失败的价值导向和社会氛围。</w:t>
      </w:r>
    </w:p>
    <w:p>
      <w:pPr>
        <w:pStyle w:val="15"/>
        <w:ind w:firstLine="633"/>
        <w:rPr>
          <w:rFonts w:hint="eastAsia"/>
        </w:rPr>
      </w:pPr>
      <w:r>
        <w:rPr>
          <w:rFonts w:hint="eastAsia"/>
          <w:b/>
          <w:bCs/>
        </w:rPr>
        <w:t>创新推动科创载体多元发展。</w:t>
      </w:r>
      <w:r>
        <w:rPr>
          <w:rFonts w:hint="eastAsia"/>
          <w:bCs/>
        </w:rPr>
        <w:t>“</w:t>
      </w:r>
      <w:r>
        <w:rPr>
          <w:rFonts w:hint="eastAsia"/>
        </w:rPr>
        <w:t>十四五”期间，年新投用孵化面积20万平方米以上，年新建载体面积30万平方米以上，“十四五”末全市新投用孵化面积100万平方米以上、在建、新建载体孵化面积150万平方米以上。新认定苏州市级孵化器30家、省级孵化器15家、省级众创空间20家以上。</w:t>
      </w:r>
      <w:r>
        <w:rPr>
          <w:rStyle w:val="12"/>
          <w:rFonts w:hint="eastAsia"/>
          <w:sz w:val="32"/>
          <w:szCs w:val="32"/>
        </w:rPr>
        <w:t>新增新型研发机构20家。</w:t>
      </w:r>
    </w:p>
    <w:p>
      <w:pPr>
        <w:widowControl/>
        <w:spacing w:line="590" w:lineRule="exact"/>
        <w:ind w:firstLine="0"/>
        <w:jc w:val="center"/>
        <w:rPr>
          <w:rFonts w:hint="eastAsia" w:ascii="Times New Roman" w:eastAsia="黑体"/>
          <w:sz w:val="28"/>
          <w:szCs w:val="28"/>
          <w:lang w:val="zh-CN"/>
        </w:rPr>
      </w:pPr>
      <w:r>
        <w:rPr>
          <w:rFonts w:ascii="Times New Roman" w:eastAsia="方正仿宋_GBK"/>
          <w:sz w:val="34"/>
          <w:szCs w:val="34"/>
        </w:rPr>
        <w:br w:type="page"/>
      </w:r>
      <w:r>
        <w:rPr>
          <w:rFonts w:ascii="Times New Roman" w:eastAsia="黑体"/>
          <w:sz w:val="28"/>
          <w:szCs w:val="28"/>
          <w:lang w:val="zh-CN"/>
        </w:rPr>
        <w:t>表2 太仓市“十四五”科技创新主要指标</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4812"/>
        <w:gridCol w:w="1442"/>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1" w:type="dxa"/>
            <w:noWrap w:val="0"/>
            <w:vAlign w:val="center"/>
          </w:tcPr>
          <w:p>
            <w:pPr>
              <w:spacing w:line="400" w:lineRule="exact"/>
              <w:ind w:firstLine="0"/>
              <w:jc w:val="center"/>
              <w:rPr>
                <w:rFonts w:ascii="Times New Roman" w:eastAsia="黑体"/>
                <w:sz w:val="28"/>
                <w:szCs w:val="28"/>
                <w:lang w:val="zh-CN"/>
              </w:rPr>
            </w:pPr>
            <w:r>
              <w:rPr>
                <w:rFonts w:hint="eastAsia" w:ascii="Times New Roman" w:eastAsia="黑体"/>
                <w:sz w:val="28"/>
                <w:szCs w:val="28"/>
                <w:lang w:val="zh-CN"/>
              </w:rPr>
              <w:t>序号</w:t>
            </w:r>
          </w:p>
        </w:tc>
        <w:tc>
          <w:tcPr>
            <w:tcW w:w="4812" w:type="dxa"/>
            <w:noWrap w:val="0"/>
            <w:vAlign w:val="center"/>
          </w:tcPr>
          <w:p>
            <w:pPr>
              <w:spacing w:line="400" w:lineRule="exact"/>
              <w:ind w:firstLine="0"/>
              <w:jc w:val="center"/>
              <w:rPr>
                <w:rFonts w:ascii="Times New Roman" w:eastAsia="黑体"/>
                <w:sz w:val="28"/>
                <w:szCs w:val="28"/>
                <w:lang w:val="zh-CN"/>
              </w:rPr>
            </w:pPr>
            <w:r>
              <w:rPr>
                <w:rFonts w:hint="eastAsia" w:ascii="Times New Roman" w:eastAsia="黑体"/>
                <w:sz w:val="28"/>
                <w:szCs w:val="28"/>
                <w:lang w:val="zh-CN"/>
              </w:rPr>
              <w:t>指标名称</w:t>
            </w:r>
          </w:p>
        </w:tc>
        <w:tc>
          <w:tcPr>
            <w:tcW w:w="1442" w:type="dxa"/>
            <w:noWrap w:val="0"/>
            <w:vAlign w:val="center"/>
          </w:tcPr>
          <w:p>
            <w:pPr>
              <w:spacing w:line="400" w:lineRule="exact"/>
              <w:ind w:firstLine="0"/>
              <w:jc w:val="center"/>
              <w:rPr>
                <w:rFonts w:ascii="Times New Roman" w:eastAsia="黑体"/>
                <w:sz w:val="28"/>
                <w:szCs w:val="28"/>
                <w:lang w:val="zh-CN"/>
              </w:rPr>
            </w:pPr>
            <w:r>
              <w:rPr>
                <w:rFonts w:hint="eastAsia" w:ascii="Times New Roman" w:eastAsia="黑体"/>
                <w:sz w:val="28"/>
                <w:szCs w:val="28"/>
                <w:lang w:val="zh-CN"/>
              </w:rPr>
              <w:t>单位</w:t>
            </w:r>
          </w:p>
        </w:tc>
        <w:tc>
          <w:tcPr>
            <w:tcW w:w="2120" w:type="dxa"/>
            <w:noWrap w:val="0"/>
            <w:vAlign w:val="center"/>
          </w:tcPr>
          <w:p>
            <w:pPr>
              <w:spacing w:line="400" w:lineRule="exact"/>
              <w:ind w:firstLine="0"/>
              <w:jc w:val="center"/>
              <w:rPr>
                <w:rFonts w:ascii="Times New Roman" w:eastAsia="黑体"/>
                <w:sz w:val="28"/>
                <w:szCs w:val="28"/>
                <w:lang w:val="zh-CN"/>
              </w:rPr>
            </w:pPr>
            <w:r>
              <w:rPr>
                <w:rFonts w:ascii="Times New Roman" w:eastAsia="黑体"/>
                <w:sz w:val="28"/>
                <w:szCs w:val="28"/>
                <w:lang w:val="zh-CN"/>
              </w:rPr>
              <w:t>2025</w:t>
            </w:r>
            <w:r>
              <w:rPr>
                <w:rFonts w:hint="eastAsia" w:ascii="Times New Roman" w:eastAsia="黑体"/>
                <w:sz w:val="28"/>
                <w:szCs w:val="28"/>
                <w:lang w:val="zh-CN"/>
              </w:rPr>
              <w:t>年目标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1" w:type="dxa"/>
            <w:noWrap w:val="0"/>
            <w:vAlign w:val="center"/>
          </w:tcPr>
          <w:p>
            <w:pPr>
              <w:spacing w:line="400" w:lineRule="exact"/>
              <w:ind w:firstLine="0"/>
              <w:jc w:val="center"/>
              <w:rPr>
                <w:rFonts w:ascii="Times New Roman"/>
                <w:sz w:val="28"/>
                <w:szCs w:val="28"/>
                <w:lang w:val="zh-CN"/>
              </w:rPr>
            </w:pPr>
            <w:r>
              <w:rPr>
                <w:rFonts w:ascii="Times New Roman"/>
                <w:sz w:val="28"/>
                <w:szCs w:val="28"/>
                <w:lang w:val="zh-CN"/>
              </w:rPr>
              <w:t>1</w:t>
            </w:r>
          </w:p>
        </w:tc>
        <w:tc>
          <w:tcPr>
            <w:tcW w:w="4812" w:type="dxa"/>
            <w:noWrap w:val="0"/>
            <w:vAlign w:val="center"/>
          </w:tcPr>
          <w:p>
            <w:pPr>
              <w:spacing w:line="400" w:lineRule="exact"/>
              <w:ind w:firstLine="0"/>
              <w:jc w:val="center"/>
              <w:rPr>
                <w:rFonts w:ascii="Times New Roman"/>
                <w:sz w:val="28"/>
                <w:szCs w:val="28"/>
                <w:lang w:val="zh-CN"/>
              </w:rPr>
            </w:pPr>
            <w:r>
              <w:rPr>
                <w:rFonts w:hint="eastAsia" w:ascii="Times New Roman" w:eastAsia="仿宋_GB2312"/>
                <w:sz w:val="28"/>
                <w:szCs w:val="28"/>
              </w:rPr>
              <w:t>全社会</w:t>
            </w:r>
            <w:r>
              <w:rPr>
                <w:rFonts w:ascii="Times New Roman" w:eastAsia="仿宋_GB2312"/>
                <w:sz w:val="28"/>
                <w:szCs w:val="28"/>
              </w:rPr>
              <w:t>研发经费支出占GDP比重</w:t>
            </w:r>
          </w:p>
        </w:tc>
        <w:tc>
          <w:tcPr>
            <w:tcW w:w="1442" w:type="dxa"/>
            <w:noWrap w:val="0"/>
            <w:vAlign w:val="center"/>
          </w:tcPr>
          <w:p>
            <w:pPr>
              <w:spacing w:line="400" w:lineRule="exact"/>
              <w:ind w:firstLine="0"/>
              <w:jc w:val="center"/>
              <w:rPr>
                <w:rFonts w:ascii="Times New Roman"/>
                <w:sz w:val="28"/>
                <w:szCs w:val="28"/>
                <w:lang w:val="zh-CN"/>
              </w:rPr>
            </w:pPr>
            <w:r>
              <w:rPr>
                <w:rFonts w:ascii="Times New Roman" w:eastAsia="仿宋_GB2312"/>
                <w:sz w:val="28"/>
                <w:szCs w:val="28"/>
              </w:rPr>
              <w:t>%</w:t>
            </w:r>
          </w:p>
        </w:tc>
        <w:tc>
          <w:tcPr>
            <w:tcW w:w="2120" w:type="dxa"/>
            <w:noWrap w:val="0"/>
            <w:vAlign w:val="center"/>
          </w:tcPr>
          <w:p>
            <w:pPr>
              <w:spacing w:line="400" w:lineRule="exact"/>
              <w:ind w:firstLine="0"/>
              <w:jc w:val="center"/>
              <w:rPr>
                <w:rFonts w:ascii="Times New Roman"/>
                <w:sz w:val="28"/>
                <w:szCs w:val="28"/>
                <w:lang w:val="zh-CN"/>
              </w:rPr>
            </w:pPr>
            <w:r>
              <w:rPr>
                <w:rFonts w:ascii="Times New Roman" w:eastAsia="仿宋_GB2312"/>
                <w:sz w:val="28"/>
                <w:szCs w:val="28"/>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1" w:type="dxa"/>
            <w:noWrap w:val="0"/>
            <w:vAlign w:val="center"/>
          </w:tcPr>
          <w:p>
            <w:pPr>
              <w:spacing w:line="400" w:lineRule="exact"/>
              <w:ind w:firstLine="0"/>
              <w:jc w:val="center"/>
              <w:rPr>
                <w:rFonts w:ascii="Times New Roman"/>
                <w:sz w:val="28"/>
                <w:szCs w:val="28"/>
                <w:lang w:val="zh-CN"/>
              </w:rPr>
            </w:pPr>
            <w:r>
              <w:rPr>
                <w:rFonts w:ascii="Times New Roman"/>
                <w:sz w:val="28"/>
                <w:szCs w:val="28"/>
                <w:lang w:val="zh-CN"/>
              </w:rPr>
              <w:t>2</w:t>
            </w:r>
          </w:p>
        </w:tc>
        <w:tc>
          <w:tcPr>
            <w:tcW w:w="4812" w:type="dxa"/>
            <w:noWrap w:val="0"/>
            <w:vAlign w:val="center"/>
          </w:tcPr>
          <w:p>
            <w:pPr>
              <w:spacing w:line="400" w:lineRule="exact"/>
              <w:ind w:firstLine="0"/>
              <w:jc w:val="center"/>
              <w:rPr>
                <w:rFonts w:ascii="Times New Roman"/>
                <w:sz w:val="28"/>
                <w:szCs w:val="28"/>
                <w:lang w:val="zh-CN"/>
              </w:rPr>
            </w:pPr>
            <w:r>
              <w:rPr>
                <w:rFonts w:ascii="Times New Roman" w:eastAsia="仿宋_GB2312"/>
                <w:sz w:val="28"/>
                <w:szCs w:val="28"/>
              </w:rPr>
              <w:t>科技进步贡献率</w:t>
            </w:r>
          </w:p>
        </w:tc>
        <w:tc>
          <w:tcPr>
            <w:tcW w:w="1442" w:type="dxa"/>
            <w:noWrap w:val="0"/>
            <w:vAlign w:val="center"/>
          </w:tcPr>
          <w:p>
            <w:pPr>
              <w:spacing w:line="400" w:lineRule="exact"/>
              <w:ind w:firstLine="0"/>
              <w:jc w:val="center"/>
              <w:rPr>
                <w:rFonts w:ascii="Times New Roman"/>
                <w:sz w:val="28"/>
                <w:szCs w:val="28"/>
                <w:lang w:val="zh-CN"/>
              </w:rPr>
            </w:pPr>
            <w:r>
              <w:rPr>
                <w:rFonts w:hint="eastAsia" w:ascii="Times New Roman" w:eastAsia="仿宋_GB2312"/>
                <w:sz w:val="28"/>
                <w:szCs w:val="28"/>
              </w:rPr>
              <w:t>%</w:t>
            </w:r>
          </w:p>
        </w:tc>
        <w:tc>
          <w:tcPr>
            <w:tcW w:w="2120" w:type="dxa"/>
            <w:noWrap w:val="0"/>
            <w:vAlign w:val="center"/>
          </w:tcPr>
          <w:p>
            <w:pPr>
              <w:spacing w:line="400" w:lineRule="exact"/>
              <w:ind w:firstLine="0"/>
              <w:jc w:val="center"/>
              <w:rPr>
                <w:rFonts w:ascii="Times New Roman"/>
                <w:sz w:val="28"/>
                <w:szCs w:val="28"/>
                <w:lang w:val="zh-CN"/>
              </w:rPr>
            </w:pPr>
            <w:r>
              <w:rPr>
                <w:rFonts w:ascii="Times New Roman" w:eastAsia="仿宋_GB2312"/>
                <w:sz w:val="28"/>
                <w:szCs w:val="28"/>
              </w:rPr>
              <w:t>70左右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1" w:type="dxa"/>
            <w:noWrap w:val="0"/>
            <w:vAlign w:val="center"/>
          </w:tcPr>
          <w:p>
            <w:pPr>
              <w:spacing w:line="400" w:lineRule="exact"/>
              <w:ind w:firstLine="0"/>
              <w:jc w:val="center"/>
              <w:rPr>
                <w:rFonts w:ascii="Times New Roman"/>
                <w:sz w:val="28"/>
                <w:szCs w:val="28"/>
                <w:lang w:val="zh-CN"/>
              </w:rPr>
            </w:pPr>
            <w:r>
              <w:rPr>
                <w:rFonts w:ascii="Times New Roman"/>
                <w:sz w:val="28"/>
                <w:szCs w:val="28"/>
                <w:lang w:val="zh-CN"/>
              </w:rPr>
              <w:t>3</w:t>
            </w:r>
          </w:p>
        </w:tc>
        <w:tc>
          <w:tcPr>
            <w:tcW w:w="4812" w:type="dxa"/>
            <w:noWrap w:val="0"/>
            <w:vAlign w:val="center"/>
          </w:tcPr>
          <w:p>
            <w:pPr>
              <w:spacing w:line="400" w:lineRule="exact"/>
              <w:ind w:firstLine="0"/>
              <w:jc w:val="center"/>
              <w:rPr>
                <w:rFonts w:ascii="Times New Roman"/>
                <w:sz w:val="28"/>
                <w:szCs w:val="28"/>
                <w:lang w:val="zh-CN"/>
              </w:rPr>
            </w:pPr>
            <w:r>
              <w:rPr>
                <w:rFonts w:hint="eastAsia" w:ascii="Times New Roman" w:eastAsia="仿宋_GB2312"/>
                <w:sz w:val="28"/>
                <w:szCs w:val="28"/>
              </w:rPr>
              <w:t>万人高价值发明专利拥有量</w:t>
            </w:r>
          </w:p>
        </w:tc>
        <w:tc>
          <w:tcPr>
            <w:tcW w:w="1442" w:type="dxa"/>
            <w:noWrap w:val="0"/>
            <w:vAlign w:val="center"/>
          </w:tcPr>
          <w:p>
            <w:pPr>
              <w:spacing w:line="400" w:lineRule="exact"/>
              <w:ind w:firstLine="0"/>
              <w:jc w:val="center"/>
              <w:rPr>
                <w:rFonts w:ascii="Times New Roman"/>
                <w:sz w:val="28"/>
                <w:szCs w:val="28"/>
                <w:lang w:val="zh-CN"/>
              </w:rPr>
            </w:pPr>
            <w:r>
              <w:rPr>
                <w:rFonts w:hint="eastAsia" w:ascii="Times New Roman" w:eastAsia="仿宋_GB2312"/>
                <w:sz w:val="28"/>
                <w:szCs w:val="28"/>
              </w:rPr>
              <w:t>件</w:t>
            </w:r>
          </w:p>
        </w:tc>
        <w:tc>
          <w:tcPr>
            <w:tcW w:w="2120" w:type="dxa"/>
            <w:noWrap w:val="0"/>
            <w:vAlign w:val="center"/>
          </w:tcPr>
          <w:p>
            <w:pPr>
              <w:spacing w:line="400" w:lineRule="exact"/>
              <w:ind w:firstLine="0"/>
              <w:jc w:val="center"/>
              <w:rPr>
                <w:rFonts w:ascii="Times New Roman"/>
                <w:sz w:val="28"/>
                <w:szCs w:val="28"/>
                <w:lang w:val="zh-CN"/>
              </w:rPr>
            </w:pPr>
            <w:r>
              <w:rPr>
                <w:rFonts w:hint="eastAsia" w:ascii="Times New Roman" w:eastAsia="仿宋_GB2312"/>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1" w:type="dxa"/>
            <w:noWrap w:val="0"/>
            <w:vAlign w:val="center"/>
          </w:tcPr>
          <w:p>
            <w:pPr>
              <w:spacing w:line="400" w:lineRule="exact"/>
              <w:ind w:firstLine="0"/>
              <w:jc w:val="center"/>
              <w:rPr>
                <w:rFonts w:ascii="Times New Roman"/>
                <w:sz w:val="28"/>
                <w:szCs w:val="28"/>
                <w:lang w:val="zh-CN"/>
              </w:rPr>
            </w:pPr>
            <w:r>
              <w:rPr>
                <w:rFonts w:ascii="Times New Roman"/>
                <w:sz w:val="28"/>
                <w:szCs w:val="28"/>
                <w:lang w:val="zh-CN"/>
              </w:rPr>
              <w:t>4</w:t>
            </w:r>
          </w:p>
        </w:tc>
        <w:tc>
          <w:tcPr>
            <w:tcW w:w="4812" w:type="dxa"/>
            <w:noWrap w:val="0"/>
            <w:vAlign w:val="center"/>
          </w:tcPr>
          <w:p>
            <w:pPr>
              <w:spacing w:line="400" w:lineRule="exact"/>
              <w:ind w:firstLine="0"/>
              <w:jc w:val="center"/>
              <w:rPr>
                <w:rFonts w:hint="eastAsia" w:ascii="Times New Roman" w:eastAsia="仿宋_GB2312"/>
                <w:sz w:val="28"/>
                <w:szCs w:val="28"/>
              </w:rPr>
            </w:pPr>
            <w:r>
              <w:rPr>
                <w:rFonts w:ascii="Times New Roman" w:eastAsia="仿宋_GB2312"/>
                <w:sz w:val="28"/>
                <w:szCs w:val="28"/>
              </w:rPr>
              <w:t>高新技术产业产值占</w:t>
            </w:r>
          </w:p>
          <w:p>
            <w:pPr>
              <w:spacing w:line="400" w:lineRule="exact"/>
              <w:ind w:firstLine="0"/>
              <w:jc w:val="center"/>
              <w:rPr>
                <w:rFonts w:ascii="Times New Roman"/>
                <w:sz w:val="28"/>
                <w:szCs w:val="28"/>
                <w:lang w:val="zh-CN"/>
              </w:rPr>
            </w:pPr>
            <w:r>
              <w:rPr>
                <w:rFonts w:ascii="Times New Roman" w:eastAsia="仿宋_GB2312"/>
                <w:sz w:val="28"/>
                <w:szCs w:val="28"/>
              </w:rPr>
              <w:t>规模以上工业总产值比重</w:t>
            </w:r>
          </w:p>
        </w:tc>
        <w:tc>
          <w:tcPr>
            <w:tcW w:w="1442" w:type="dxa"/>
            <w:noWrap w:val="0"/>
            <w:vAlign w:val="center"/>
          </w:tcPr>
          <w:p>
            <w:pPr>
              <w:spacing w:line="400" w:lineRule="exact"/>
              <w:ind w:firstLine="0"/>
              <w:jc w:val="center"/>
              <w:rPr>
                <w:rFonts w:ascii="Times New Roman"/>
                <w:sz w:val="28"/>
                <w:szCs w:val="28"/>
                <w:lang w:val="zh-CN"/>
              </w:rPr>
            </w:pPr>
            <w:r>
              <w:rPr>
                <w:rFonts w:ascii="Times New Roman" w:eastAsia="仿宋_GB2312"/>
                <w:sz w:val="28"/>
                <w:szCs w:val="28"/>
              </w:rPr>
              <w:t>%</w:t>
            </w:r>
          </w:p>
        </w:tc>
        <w:tc>
          <w:tcPr>
            <w:tcW w:w="2120" w:type="dxa"/>
            <w:noWrap w:val="0"/>
            <w:vAlign w:val="center"/>
          </w:tcPr>
          <w:p>
            <w:pPr>
              <w:spacing w:line="400" w:lineRule="exact"/>
              <w:ind w:firstLine="0"/>
              <w:jc w:val="center"/>
              <w:rPr>
                <w:rFonts w:ascii="Times New Roman"/>
                <w:sz w:val="28"/>
                <w:szCs w:val="28"/>
                <w:lang w:val="zh-CN"/>
              </w:rPr>
            </w:pPr>
            <w:r>
              <w:rPr>
                <w:rFonts w:ascii="Times New Roman" w:eastAsia="仿宋_GB2312"/>
                <w:sz w:val="28"/>
                <w:szCs w:val="28"/>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1" w:type="dxa"/>
            <w:noWrap w:val="0"/>
            <w:vAlign w:val="center"/>
          </w:tcPr>
          <w:p>
            <w:pPr>
              <w:spacing w:line="400" w:lineRule="exact"/>
              <w:ind w:firstLine="0"/>
              <w:jc w:val="center"/>
              <w:rPr>
                <w:rFonts w:ascii="Times New Roman"/>
                <w:sz w:val="28"/>
                <w:szCs w:val="28"/>
                <w:lang w:val="zh-CN"/>
              </w:rPr>
            </w:pPr>
            <w:r>
              <w:rPr>
                <w:rFonts w:ascii="Times New Roman"/>
                <w:sz w:val="28"/>
                <w:szCs w:val="28"/>
                <w:lang w:val="zh-CN"/>
              </w:rPr>
              <w:t>5</w:t>
            </w:r>
          </w:p>
        </w:tc>
        <w:tc>
          <w:tcPr>
            <w:tcW w:w="4812" w:type="dxa"/>
            <w:noWrap w:val="0"/>
            <w:vAlign w:val="center"/>
          </w:tcPr>
          <w:p>
            <w:pPr>
              <w:spacing w:line="400" w:lineRule="exact"/>
              <w:ind w:firstLine="0"/>
              <w:jc w:val="center"/>
              <w:rPr>
                <w:rFonts w:ascii="Times New Roman"/>
                <w:sz w:val="28"/>
                <w:szCs w:val="28"/>
                <w:lang w:val="zh-CN"/>
              </w:rPr>
            </w:pPr>
            <w:r>
              <w:rPr>
                <w:rFonts w:ascii="Times New Roman" w:eastAsia="仿宋_GB2312"/>
                <w:sz w:val="28"/>
                <w:szCs w:val="28"/>
              </w:rPr>
              <w:t>高新技术企业数</w:t>
            </w:r>
          </w:p>
        </w:tc>
        <w:tc>
          <w:tcPr>
            <w:tcW w:w="1442" w:type="dxa"/>
            <w:noWrap w:val="0"/>
            <w:vAlign w:val="center"/>
          </w:tcPr>
          <w:p>
            <w:pPr>
              <w:spacing w:line="400" w:lineRule="exact"/>
              <w:ind w:firstLine="0"/>
              <w:jc w:val="center"/>
              <w:rPr>
                <w:rFonts w:ascii="Times New Roman"/>
                <w:sz w:val="28"/>
                <w:szCs w:val="28"/>
                <w:lang w:val="zh-CN"/>
              </w:rPr>
            </w:pPr>
            <w:r>
              <w:rPr>
                <w:rFonts w:ascii="Times New Roman" w:eastAsia="仿宋_GB2312"/>
                <w:sz w:val="28"/>
                <w:szCs w:val="28"/>
              </w:rPr>
              <w:t>家</w:t>
            </w:r>
          </w:p>
        </w:tc>
        <w:tc>
          <w:tcPr>
            <w:tcW w:w="2120" w:type="dxa"/>
            <w:noWrap w:val="0"/>
            <w:vAlign w:val="center"/>
          </w:tcPr>
          <w:p>
            <w:pPr>
              <w:spacing w:line="400" w:lineRule="exact"/>
              <w:ind w:firstLine="0"/>
              <w:jc w:val="center"/>
              <w:rPr>
                <w:rFonts w:ascii="Times New Roman"/>
                <w:sz w:val="28"/>
                <w:szCs w:val="28"/>
                <w:lang w:val="zh-CN"/>
              </w:rPr>
            </w:pPr>
            <w:r>
              <w:rPr>
                <w:rFonts w:ascii="Times New Roman" w:eastAsia="仿宋_GB2312"/>
                <w:sz w:val="28"/>
                <w:szCs w:val="28"/>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1" w:type="dxa"/>
            <w:noWrap w:val="0"/>
            <w:vAlign w:val="center"/>
          </w:tcPr>
          <w:p>
            <w:pPr>
              <w:spacing w:line="400" w:lineRule="exact"/>
              <w:ind w:firstLine="0"/>
              <w:jc w:val="center"/>
              <w:rPr>
                <w:rFonts w:ascii="Times New Roman"/>
                <w:sz w:val="28"/>
                <w:szCs w:val="28"/>
                <w:lang w:val="zh-CN"/>
              </w:rPr>
            </w:pPr>
            <w:r>
              <w:rPr>
                <w:rFonts w:ascii="Times New Roman"/>
                <w:sz w:val="28"/>
                <w:szCs w:val="28"/>
                <w:lang w:val="zh-CN"/>
              </w:rPr>
              <w:t>6</w:t>
            </w:r>
          </w:p>
        </w:tc>
        <w:tc>
          <w:tcPr>
            <w:tcW w:w="4812" w:type="dxa"/>
            <w:noWrap w:val="0"/>
            <w:vAlign w:val="center"/>
          </w:tcPr>
          <w:p>
            <w:pPr>
              <w:spacing w:line="400" w:lineRule="exact"/>
              <w:ind w:firstLine="0"/>
              <w:jc w:val="center"/>
              <w:rPr>
                <w:rFonts w:ascii="Times New Roman"/>
                <w:sz w:val="28"/>
                <w:szCs w:val="28"/>
                <w:lang w:val="zh-CN"/>
              </w:rPr>
            </w:pPr>
            <w:r>
              <w:rPr>
                <w:rFonts w:ascii="Times New Roman" w:eastAsia="仿宋_GB2312"/>
                <w:sz w:val="28"/>
                <w:szCs w:val="28"/>
              </w:rPr>
              <w:t>科技型中小企业评价入库</w:t>
            </w:r>
          </w:p>
        </w:tc>
        <w:tc>
          <w:tcPr>
            <w:tcW w:w="1442" w:type="dxa"/>
            <w:noWrap w:val="0"/>
            <w:vAlign w:val="center"/>
          </w:tcPr>
          <w:p>
            <w:pPr>
              <w:spacing w:line="400" w:lineRule="exact"/>
              <w:ind w:firstLine="0"/>
              <w:jc w:val="center"/>
              <w:rPr>
                <w:rFonts w:ascii="Times New Roman"/>
                <w:sz w:val="28"/>
                <w:szCs w:val="28"/>
                <w:lang w:val="zh-CN"/>
              </w:rPr>
            </w:pPr>
            <w:r>
              <w:rPr>
                <w:rFonts w:ascii="Times New Roman" w:eastAsia="仿宋_GB2312"/>
                <w:sz w:val="28"/>
                <w:szCs w:val="28"/>
              </w:rPr>
              <w:t>家</w:t>
            </w:r>
          </w:p>
        </w:tc>
        <w:tc>
          <w:tcPr>
            <w:tcW w:w="2120" w:type="dxa"/>
            <w:noWrap w:val="0"/>
            <w:vAlign w:val="center"/>
          </w:tcPr>
          <w:p>
            <w:pPr>
              <w:spacing w:line="400" w:lineRule="exact"/>
              <w:ind w:firstLine="0"/>
              <w:jc w:val="center"/>
              <w:rPr>
                <w:rFonts w:ascii="Times New Roman"/>
                <w:sz w:val="28"/>
                <w:szCs w:val="28"/>
                <w:lang w:val="zh-CN"/>
              </w:rPr>
            </w:pPr>
            <w:r>
              <w:rPr>
                <w:rFonts w:ascii="Times New Roman" w:eastAsia="仿宋_GB2312"/>
                <w:sz w:val="28"/>
                <w:szCs w:val="28"/>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1" w:type="dxa"/>
            <w:noWrap w:val="0"/>
            <w:vAlign w:val="center"/>
          </w:tcPr>
          <w:p>
            <w:pPr>
              <w:spacing w:line="400" w:lineRule="exact"/>
              <w:ind w:firstLine="0"/>
              <w:jc w:val="center"/>
              <w:rPr>
                <w:rFonts w:ascii="Times New Roman"/>
                <w:sz w:val="28"/>
                <w:szCs w:val="28"/>
                <w:lang w:val="zh-CN"/>
              </w:rPr>
            </w:pPr>
            <w:r>
              <w:rPr>
                <w:rFonts w:ascii="Times New Roman"/>
                <w:sz w:val="28"/>
                <w:szCs w:val="28"/>
                <w:lang w:val="zh-CN"/>
              </w:rPr>
              <w:t>7</w:t>
            </w:r>
          </w:p>
        </w:tc>
        <w:tc>
          <w:tcPr>
            <w:tcW w:w="4812" w:type="dxa"/>
            <w:noWrap w:val="0"/>
            <w:vAlign w:val="center"/>
          </w:tcPr>
          <w:p>
            <w:pPr>
              <w:spacing w:line="400" w:lineRule="exact"/>
              <w:ind w:firstLine="0"/>
              <w:jc w:val="center"/>
              <w:rPr>
                <w:rFonts w:ascii="Times New Roman"/>
                <w:sz w:val="28"/>
                <w:szCs w:val="28"/>
                <w:lang w:val="zh-CN"/>
              </w:rPr>
            </w:pPr>
            <w:r>
              <w:rPr>
                <w:rFonts w:ascii="Times New Roman" w:eastAsia="仿宋_GB2312"/>
                <w:sz w:val="28"/>
                <w:szCs w:val="28"/>
              </w:rPr>
              <w:t>技术合同成交额</w:t>
            </w:r>
          </w:p>
        </w:tc>
        <w:tc>
          <w:tcPr>
            <w:tcW w:w="1442" w:type="dxa"/>
            <w:noWrap w:val="0"/>
            <w:vAlign w:val="center"/>
          </w:tcPr>
          <w:p>
            <w:pPr>
              <w:spacing w:line="400" w:lineRule="exact"/>
              <w:ind w:firstLine="0"/>
              <w:jc w:val="center"/>
              <w:rPr>
                <w:rFonts w:ascii="Times New Roman"/>
                <w:sz w:val="28"/>
                <w:szCs w:val="28"/>
                <w:lang w:val="zh-CN"/>
              </w:rPr>
            </w:pPr>
            <w:r>
              <w:rPr>
                <w:rFonts w:ascii="Times New Roman" w:eastAsia="仿宋_GB2312"/>
                <w:sz w:val="28"/>
                <w:szCs w:val="28"/>
              </w:rPr>
              <w:t>亿元</w:t>
            </w:r>
          </w:p>
        </w:tc>
        <w:tc>
          <w:tcPr>
            <w:tcW w:w="2120" w:type="dxa"/>
            <w:noWrap w:val="0"/>
            <w:vAlign w:val="center"/>
          </w:tcPr>
          <w:p>
            <w:pPr>
              <w:spacing w:line="400" w:lineRule="exact"/>
              <w:ind w:firstLine="0"/>
              <w:jc w:val="center"/>
              <w:rPr>
                <w:rFonts w:ascii="Times New Roman"/>
                <w:sz w:val="28"/>
                <w:szCs w:val="28"/>
                <w:lang w:val="zh-CN"/>
              </w:rPr>
            </w:pPr>
            <w:r>
              <w:rPr>
                <w:rFonts w:hint="eastAsia" w:ascii="Times New Roman" w:eastAsia="仿宋_GB2312"/>
                <w:sz w:val="28"/>
                <w:szCs w:val="2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1" w:type="dxa"/>
            <w:noWrap w:val="0"/>
            <w:vAlign w:val="center"/>
          </w:tcPr>
          <w:p>
            <w:pPr>
              <w:spacing w:line="400" w:lineRule="exact"/>
              <w:ind w:firstLine="0"/>
              <w:jc w:val="center"/>
              <w:rPr>
                <w:rFonts w:ascii="Times New Roman"/>
                <w:sz w:val="28"/>
                <w:szCs w:val="28"/>
                <w:lang w:val="zh-CN"/>
              </w:rPr>
            </w:pPr>
            <w:r>
              <w:rPr>
                <w:rFonts w:ascii="Times New Roman"/>
                <w:sz w:val="28"/>
                <w:szCs w:val="28"/>
                <w:lang w:val="zh-CN"/>
              </w:rPr>
              <w:t>8</w:t>
            </w:r>
          </w:p>
        </w:tc>
        <w:tc>
          <w:tcPr>
            <w:tcW w:w="4812" w:type="dxa"/>
            <w:noWrap w:val="0"/>
            <w:vAlign w:val="center"/>
          </w:tcPr>
          <w:p>
            <w:pPr>
              <w:spacing w:line="400" w:lineRule="exact"/>
              <w:ind w:firstLine="0"/>
              <w:jc w:val="center"/>
              <w:rPr>
                <w:rFonts w:ascii="Times New Roman"/>
                <w:sz w:val="28"/>
                <w:szCs w:val="28"/>
                <w:lang w:val="zh-CN"/>
              </w:rPr>
            </w:pPr>
            <w:r>
              <w:rPr>
                <w:rFonts w:ascii="Times New Roman" w:eastAsia="仿宋_GB2312"/>
                <w:sz w:val="28"/>
                <w:szCs w:val="28"/>
              </w:rPr>
              <w:t>省级企业研发机构</w:t>
            </w:r>
          </w:p>
        </w:tc>
        <w:tc>
          <w:tcPr>
            <w:tcW w:w="1442" w:type="dxa"/>
            <w:noWrap w:val="0"/>
            <w:vAlign w:val="center"/>
          </w:tcPr>
          <w:p>
            <w:pPr>
              <w:spacing w:line="400" w:lineRule="exact"/>
              <w:ind w:firstLine="0"/>
              <w:jc w:val="center"/>
              <w:rPr>
                <w:rFonts w:ascii="Times New Roman"/>
                <w:sz w:val="28"/>
                <w:szCs w:val="28"/>
                <w:lang w:val="zh-CN"/>
              </w:rPr>
            </w:pPr>
            <w:r>
              <w:rPr>
                <w:rFonts w:ascii="Times New Roman" w:eastAsia="仿宋_GB2312"/>
                <w:sz w:val="28"/>
                <w:szCs w:val="28"/>
              </w:rPr>
              <w:t>家</w:t>
            </w:r>
          </w:p>
        </w:tc>
        <w:tc>
          <w:tcPr>
            <w:tcW w:w="2120" w:type="dxa"/>
            <w:noWrap w:val="0"/>
            <w:vAlign w:val="center"/>
          </w:tcPr>
          <w:p>
            <w:pPr>
              <w:spacing w:line="400" w:lineRule="exact"/>
              <w:ind w:firstLine="0"/>
              <w:jc w:val="center"/>
              <w:rPr>
                <w:rFonts w:ascii="Times New Roman"/>
                <w:sz w:val="28"/>
                <w:szCs w:val="28"/>
                <w:lang w:val="zh-CN"/>
              </w:rPr>
            </w:pPr>
            <w:r>
              <w:rPr>
                <w:rFonts w:ascii="Times New Roman" w:eastAsia="仿宋_GB2312"/>
                <w:sz w:val="28"/>
                <w:szCs w:val="28"/>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1" w:type="dxa"/>
            <w:noWrap w:val="0"/>
            <w:vAlign w:val="center"/>
          </w:tcPr>
          <w:p>
            <w:pPr>
              <w:spacing w:line="400" w:lineRule="exact"/>
              <w:ind w:firstLine="0"/>
              <w:jc w:val="center"/>
              <w:rPr>
                <w:rFonts w:ascii="Times New Roman"/>
                <w:sz w:val="28"/>
                <w:szCs w:val="28"/>
                <w:lang w:val="zh-CN"/>
              </w:rPr>
            </w:pPr>
            <w:r>
              <w:rPr>
                <w:rFonts w:ascii="Times New Roman"/>
                <w:sz w:val="28"/>
                <w:szCs w:val="28"/>
                <w:lang w:val="zh-CN"/>
              </w:rPr>
              <w:t>9</w:t>
            </w:r>
          </w:p>
        </w:tc>
        <w:tc>
          <w:tcPr>
            <w:tcW w:w="4812" w:type="dxa"/>
            <w:noWrap w:val="0"/>
            <w:vAlign w:val="center"/>
          </w:tcPr>
          <w:p>
            <w:pPr>
              <w:spacing w:line="400" w:lineRule="exact"/>
              <w:ind w:firstLine="0"/>
              <w:jc w:val="center"/>
              <w:rPr>
                <w:rFonts w:ascii="Times New Roman"/>
                <w:sz w:val="28"/>
                <w:szCs w:val="28"/>
                <w:lang w:val="zh-CN"/>
              </w:rPr>
            </w:pPr>
            <w:r>
              <w:rPr>
                <w:rFonts w:ascii="Times New Roman" w:eastAsia="仿宋_GB2312"/>
                <w:sz w:val="28"/>
                <w:szCs w:val="28"/>
              </w:rPr>
              <w:t>市级以上孵化器、众创空间</w:t>
            </w:r>
          </w:p>
        </w:tc>
        <w:tc>
          <w:tcPr>
            <w:tcW w:w="1442" w:type="dxa"/>
            <w:noWrap w:val="0"/>
            <w:vAlign w:val="center"/>
          </w:tcPr>
          <w:p>
            <w:pPr>
              <w:spacing w:line="400" w:lineRule="exact"/>
              <w:ind w:firstLine="0"/>
              <w:jc w:val="center"/>
              <w:rPr>
                <w:rFonts w:ascii="Times New Roman"/>
                <w:sz w:val="28"/>
                <w:szCs w:val="28"/>
                <w:lang w:val="zh-CN"/>
              </w:rPr>
            </w:pPr>
            <w:r>
              <w:rPr>
                <w:rFonts w:ascii="Times New Roman" w:eastAsia="仿宋_GB2312"/>
                <w:sz w:val="28"/>
                <w:szCs w:val="28"/>
              </w:rPr>
              <w:t>家</w:t>
            </w:r>
          </w:p>
        </w:tc>
        <w:tc>
          <w:tcPr>
            <w:tcW w:w="2120" w:type="dxa"/>
            <w:noWrap w:val="0"/>
            <w:vAlign w:val="center"/>
          </w:tcPr>
          <w:p>
            <w:pPr>
              <w:spacing w:line="400" w:lineRule="exact"/>
              <w:ind w:firstLine="0"/>
              <w:jc w:val="center"/>
              <w:rPr>
                <w:rFonts w:ascii="Times New Roman"/>
                <w:sz w:val="28"/>
                <w:szCs w:val="28"/>
                <w:lang w:val="zh-CN"/>
              </w:rPr>
            </w:pPr>
            <w:r>
              <w:rPr>
                <w:rFonts w:hint="eastAsia" w:ascii="Times New Roman" w:eastAsia="仿宋_GB2312"/>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1" w:type="dxa"/>
            <w:noWrap w:val="0"/>
            <w:vAlign w:val="center"/>
          </w:tcPr>
          <w:p>
            <w:pPr>
              <w:spacing w:line="400" w:lineRule="exact"/>
              <w:ind w:firstLine="0"/>
              <w:jc w:val="center"/>
              <w:rPr>
                <w:rFonts w:ascii="Times New Roman"/>
                <w:sz w:val="28"/>
                <w:szCs w:val="28"/>
                <w:lang w:val="zh-CN"/>
              </w:rPr>
            </w:pPr>
            <w:r>
              <w:rPr>
                <w:rFonts w:ascii="Times New Roman"/>
                <w:sz w:val="28"/>
                <w:szCs w:val="28"/>
                <w:lang w:val="zh-CN"/>
              </w:rPr>
              <w:t>10</w:t>
            </w:r>
          </w:p>
        </w:tc>
        <w:tc>
          <w:tcPr>
            <w:tcW w:w="4812" w:type="dxa"/>
            <w:noWrap w:val="0"/>
            <w:vAlign w:val="center"/>
          </w:tcPr>
          <w:p>
            <w:pPr>
              <w:spacing w:line="400" w:lineRule="exact"/>
              <w:ind w:firstLine="0"/>
              <w:jc w:val="center"/>
              <w:rPr>
                <w:rFonts w:ascii="Times New Roman"/>
                <w:sz w:val="28"/>
                <w:szCs w:val="28"/>
                <w:lang w:val="zh-CN"/>
              </w:rPr>
            </w:pPr>
            <w:r>
              <w:rPr>
                <w:rFonts w:ascii="Times New Roman" w:eastAsia="仿宋_GB2312"/>
                <w:sz w:val="28"/>
                <w:szCs w:val="28"/>
              </w:rPr>
              <w:t>科技领军人才数</w:t>
            </w:r>
          </w:p>
        </w:tc>
        <w:tc>
          <w:tcPr>
            <w:tcW w:w="1442" w:type="dxa"/>
            <w:noWrap w:val="0"/>
            <w:vAlign w:val="center"/>
          </w:tcPr>
          <w:p>
            <w:pPr>
              <w:spacing w:line="400" w:lineRule="exact"/>
              <w:ind w:firstLine="0"/>
              <w:jc w:val="center"/>
              <w:rPr>
                <w:rFonts w:ascii="Times New Roman"/>
                <w:sz w:val="28"/>
                <w:szCs w:val="28"/>
                <w:lang w:val="zh-CN"/>
              </w:rPr>
            </w:pPr>
            <w:r>
              <w:rPr>
                <w:rFonts w:ascii="Times New Roman" w:eastAsia="仿宋_GB2312"/>
                <w:sz w:val="28"/>
                <w:szCs w:val="28"/>
              </w:rPr>
              <w:t>人</w:t>
            </w:r>
          </w:p>
        </w:tc>
        <w:tc>
          <w:tcPr>
            <w:tcW w:w="2120" w:type="dxa"/>
            <w:noWrap w:val="0"/>
            <w:vAlign w:val="center"/>
          </w:tcPr>
          <w:p>
            <w:pPr>
              <w:spacing w:line="400" w:lineRule="exact"/>
              <w:ind w:firstLine="0"/>
              <w:jc w:val="center"/>
              <w:rPr>
                <w:rFonts w:ascii="Times New Roman"/>
                <w:sz w:val="28"/>
                <w:szCs w:val="28"/>
                <w:lang w:val="zh-CN"/>
              </w:rPr>
            </w:pPr>
            <w:r>
              <w:rPr>
                <w:rFonts w:ascii="Times New Roman" w:eastAsia="仿宋_GB2312"/>
                <w:sz w:val="28"/>
                <w:szCs w:val="28"/>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1" w:type="dxa"/>
            <w:noWrap w:val="0"/>
            <w:vAlign w:val="center"/>
          </w:tcPr>
          <w:p>
            <w:pPr>
              <w:spacing w:line="400" w:lineRule="exact"/>
              <w:ind w:firstLine="0"/>
              <w:jc w:val="center"/>
              <w:rPr>
                <w:rFonts w:ascii="Times New Roman"/>
                <w:sz w:val="28"/>
                <w:szCs w:val="28"/>
                <w:lang w:val="zh-CN"/>
              </w:rPr>
            </w:pPr>
            <w:r>
              <w:rPr>
                <w:rFonts w:ascii="Times New Roman"/>
                <w:sz w:val="28"/>
                <w:szCs w:val="28"/>
                <w:lang w:val="zh-CN"/>
              </w:rPr>
              <w:t>11</w:t>
            </w:r>
          </w:p>
        </w:tc>
        <w:tc>
          <w:tcPr>
            <w:tcW w:w="4812" w:type="dxa"/>
            <w:noWrap w:val="0"/>
            <w:vAlign w:val="center"/>
          </w:tcPr>
          <w:p>
            <w:pPr>
              <w:spacing w:line="400" w:lineRule="exact"/>
              <w:ind w:firstLine="0"/>
              <w:jc w:val="center"/>
              <w:rPr>
                <w:rFonts w:ascii="Times New Roman"/>
                <w:sz w:val="28"/>
                <w:szCs w:val="28"/>
                <w:lang w:val="zh-CN"/>
              </w:rPr>
            </w:pPr>
            <w:r>
              <w:rPr>
                <w:rFonts w:hint="eastAsia" w:ascii="Times New Roman" w:eastAsia="仿宋_GB2312"/>
                <w:sz w:val="28"/>
                <w:szCs w:val="28"/>
              </w:rPr>
              <w:t>重大创新创业</w:t>
            </w:r>
            <w:r>
              <w:rPr>
                <w:rFonts w:ascii="Times New Roman" w:eastAsia="仿宋_GB2312"/>
                <w:sz w:val="28"/>
                <w:szCs w:val="28"/>
              </w:rPr>
              <w:t>团队</w:t>
            </w:r>
          </w:p>
        </w:tc>
        <w:tc>
          <w:tcPr>
            <w:tcW w:w="1442" w:type="dxa"/>
            <w:noWrap w:val="0"/>
            <w:vAlign w:val="center"/>
          </w:tcPr>
          <w:p>
            <w:pPr>
              <w:spacing w:line="400" w:lineRule="exact"/>
              <w:ind w:firstLine="0"/>
              <w:jc w:val="center"/>
              <w:rPr>
                <w:rFonts w:ascii="Times New Roman"/>
                <w:sz w:val="28"/>
                <w:szCs w:val="28"/>
                <w:lang w:val="zh-CN"/>
              </w:rPr>
            </w:pPr>
            <w:r>
              <w:rPr>
                <w:rFonts w:hint="eastAsia" w:ascii="Times New Roman" w:eastAsia="仿宋_GB2312"/>
                <w:sz w:val="28"/>
                <w:szCs w:val="28"/>
              </w:rPr>
              <w:t>个</w:t>
            </w:r>
          </w:p>
        </w:tc>
        <w:tc>
          <w:tcPr>
            <w:tcW w:w="2120" w:type="dxa"/>
            <w:noWrap w:val="0"/>
            <w:vAlign w:val="center"/>
          </w:tcPr>
          <w:p>
            <w:pPr>
              <w:spacing w:line="400" w:lineRule="exact"/>
              <w:ind w:firstLine="0"/>
              <w:jc w:val="center"/>
              <w:rPr>
                <w:rFonts w:ascii="Times New Roman"/>
                <w:sz w:val="28"/>
                <w:szCs w:val="28"/>
                <w:lang w:val="zh-CN"/>
              </w:rPr>
            </w:pPr>
            <w:r>
              <w:rPr>
                <w:rFonts w:ascii="Times New Roman" w:eastAsia="仿宋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1" w:type="dxa"/>
            <w:noWrap w:val="0"/>
            <w:vAlign w:val="center"/>
          </w:tcPr>
          <w:p>
            <w:pPr>
              <w:spacing w:line="400" w:lineRule="exact"/>
              <w:ind w:firstLine="0"/>
              <w:jc w:val="center"/>
              <w:rPr>
                <w:rFonts w:ascii="Times New Roman"/>
                <w:sz w:val="28"/>
                <w:szCs w:val="28"/>
                <w:lang w:val="zh-CN"/>
              </w:rPr>
            </w:pPr>
            <w:r>
              <w:rPr>
                <w:rFonts w:ascii="Times New Roman"/>
                <w:sz w:val="28"/>
                <w:szCs w:val="28"/>
                <w:lang w:val="zh-CN"/>
              </w:rPr>
              <w:t>12</w:t>
            </w:r>
          </w:p>
        </w:tc>
        <w:tc>
          <w:tcPr>
            <w:tcW w:w="4812" w:type="dxa"/>
            <w:noWrap w:val="0"/>
            <w:vAlign w:val="center"/>
          </w:tcPr>
          <w:p>
            <w:pPr>
              <w:spacing w:line="400" w:lineRule="exact"/>
              <w:ind w:firstLine="0"/>
              <w:jc w:val="center"/>
              <w:rPr>
                <w:rFonts w:hint="eastAsia" w:ascii="Times New Roman" w:eastAsia="仿宋_GB2312"/>
                <w:sz w:val="28"/>
                <w:szCs w:val="28"/>
              </w:rPr>
            </w:pPr>
            <w:r>
              <w:rPr>
                <w:rFonts w:ascii="Times New Roman" w:eastAsia="仿宋_GB2312"/>
                <w:sz w:val="28"/>
                <w:szCs w:val="28"/>
              </w:rPr>
              <w:t>外国高端人才和专业人才</w:t>
            </w:r>
          </w:p>
          <w:p>
            <w:pPr>
              <w:spacing w:line="400" w:lineRule="exact"/>
              <w:ind w:firstLine="0"/>
              <w:jc w:val="center"/>
              <w:rPr>
                <w:rFonts w:ascii="Times New Roman"/>
                <w:sz w:val="28"/>
                <w:szCs w:val="28"/>
                <w:lang w:val="zh-CN"/>
              </w:rPr>
            </w:pPr>
            <w:r>
              <w:rPr>
                <w:rFonts w:ascii="Times New Roman" w:eastAsia="仿宋_GB2312"/>
                <w:sz w:val="28"/>
                <w:szCs w:val="28"/>
              </w:rPr>
              <w:t>来华工作人数</w:t>
            </w:r>
          </w:p>
        </w:tc>
        <w:tc>
          <w:tcPr>
            <w:tcW w:w="1442" w:type="dxa"/>
            <w:noWrap w:val="0"/>
            <w:vAlign w:val="center"/>
          </w:tcPr>
          <w:p>
            <w:pPr>
              <w:spacing w:line="400" w:lineRule="exact"/>
              <w:ind w:firstLine="0"/>
              <w:jc w:val="center"/>
              <w:rPr>
                <w:rFonts w:ascii="Times New Roman"/>
                <w:sz w:val="28"/>
                <w:szCs w:val="28"/>
                <w:lang w:val="zh-CN"/>
              </w:rPr>
            </w:pPr>
            <w:r>
              <w:rPr>
                <w:rFonts w:ascii="Times New Roman" w:eastAsia="仿宋_GB2312"/>
                <w:sz w:val="28"/>
                <w:szCs w:val="28"/>
              </w:rPr>
              <w:t>人</w:t>
            </w:r>
          </w:p>
        </w:tc>
        <w:tc>
          <w:tcPr>
            <w:tcW w:w="2120" w:type="dxa"/>
            <w:noWrap w:val="0"/>
            <w:vAlign w:val="center"/>
          </w:tcPr>
          <w:p>
            <w:pPr>
              <w:spacing w:line="400" w:lineRule="exact"/>
              <w:ind w:firstLine="0"/>
              <w:jc w:val="center"/>
              <w:rPr>
                <w:rFonts w:ascii="Times New Roman"/>
                <w:sz w:val="28"/>
                <w:szCs w:val="28"/>
                <w:lang w:val="zh-CN"/>
              </w:rPr>
            </w:pPr>
            <w:r>
              <w:rPr>
                <w:rFonts w:ascii="Times New Roman" w:eastAsia="仿宋_GB2312"/>
                <w:sz w:val="28"/>
                <w:szCs w:val="28"/>
              </w:rPr>
              <w:t>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1" w:type="dxa"/>
            <w:noWrap w:val="0"/>
            <w:vAlign w:val="center"/>
          </w:tcPr>
          <w:p>
            <w:pPr>
              <w:spacing w:line="400" w:lineRule="exact"/>
              <w:ind w:firstLine="0"/>
              <w:jc w:val="center"/>
              <w:rPr>
                <w:rFonts w:ascii="Times New Roman"/>
                <w:sz w:val="28"/>
                <w:szCs w:val="28"/>
                <w:lang w:val="zh-CN"/>
              </w:rPr>
            </w:pPr>
            <w:r>
              <w:rPr>
                <w:rFonts w:ascii="Times New Roman"/>
                <w:sz w:val="28"/>
                <w:szCs w:val="28"/>
                <w:lang w:val="zh-CN"/>
              </w:rPr>
              <w:t>13</w:t>
            </w:r>
          </w:p>
        </w:tc>
        <w:tc>
          <w:tcPr>
            <w:tcW w:w="4812" w:type="dxa"/>
            <w:noWrap w:val="0"/>
            <w:vAlign w:val="center"/>
          </w:tcPr>
          <w:p>
            <w:pPr>
              <w:spacing w:line="400" w:lineRule="exact"/>
              <w:ind w:firstLine="0"/>
              <w:jc w:val="center"/>
              <w:rPr>
                <w:rFonts w:ascii="Times New Roman"/>
                <w:sz w:val="28"/>
                <w:szCs w:val="28"/>
                <w:lang w:val="zh-CN"/>
              </w:rPr>
            </w:pPr>
            <w:r>
              <w:rPr>
                <w:rFonts w:ascii="Times New Roman" w:eastAsia="仿宋_GB2312"/>
                <w:sz w:val="28"/>
                <w:szCs w:val="28"/>
              </w:rPr>
              <w:t>新投用孵化器面积</w:t>
            </w:r>
          </w:p>
        </w:tc>
        <w:tc>
          <w:tcPr>
            <w:tcW w:w="1442" w:type="dxa"/>
            <w:noWrap w:val="0"/>
            <w:vAlign w:val="center"/>
          </w:tcPr>
          <w:p>
            <w:pPr>
              <w:spacing w:line="400" w:lineRule="exact"/>
              <w:ind w:firstLine="0"/>
              <w:jc w:val="center"/>
              <w:rPr>
                <w:rFonts w:ascii="Times New Roman"/>
                <w:sz w:val="28"/>
                <w:szCs w:val="28"/>
                <w:lang w:val="zh-CN"/>
              </w:rPr>
            </w:pPr>
            <w:r>
              <w:rPr>
                <w:rFonts w:ascii="Times New Roman" w:eastAsia="仿宋_GB2312"/>
                <w:sz w:val="28"/>
                <w:szCs w:val="28"/>
              </w:rPr>
              <w:t>万平方米</w:t>
            </w:r>
          </w:p>
        </w:tc>
        <w:tc>
          <w:tcPr>
            <w:tcW w:w="2120" w:type="dxa"/>
            <w:noWrap w:val="0"/>
            <w:vAlign w:val="center"/>
          </w:tcPr>
          <w:p>
            <w:pPr>
              <w:spacing w:line="400" w:lineRule="exact"/>
              <w:ind w:firstLine="0"/>
              <w:jc w:val="center"/>
              <w:rPr>
                <w:rFonts w:ascii="Times New Roman"/>
                <w:sz w:val="28"/>
                <w:szCs w:val="28"/>
                <w:lang w:val="zh-CN"/>
              </w:rPr>
            </w:pPr>
            <w:r>
              <w:rPr>
                <w:rFonts w:ascii="Times New Roman" w:eastAsia="仿宋_GB2312"/>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1" w:type="dxa"/>
            <w:noWrap w:val="0"/>
            <w:vAlign w:val="center"/>
          </w:tcPr>
          <w:p>
            <w:pPr>
              <w:spacing w:line="400" w:lineRule="exact"/>
              <w:ind w:firstLine="0"/>
              <w:jc w:val="center"/>
              <w:rPr>
                <w:rFonts w:ascii="Times New Roman"/>
                <w:sz w:val="28"/>
                <w:szCs w:val="28"/>
                <w:lang w:val="zh-CN"/>
              </w:rPr>
            </w:pPr>
            <w:r>
              <w:rPr>
                <w:rFonts w:ascii="Times New Roman"/>
                <w:sz w:val="28"/>
                <w:szCs w:val="28"/>
                <w:lang w:val="zh-CN"/>
              </w:rPr>
              <w:t>14</w:t>
            </w:r>
          </w:p>
        </w:tc>
        <w:tc>
          <w:tcPr>
            <w:tcW w:w="4812" w:type="dxa"/>
            <w:noWrap w:val="0"/>
            <w:vAlign w:val="center"/>
          </w:tcPr>
          <w:p>
            <w:pPr>
              <w:spacing w:line="400" w:lineRule="exact"/>
              <w:ind w:firstLine="0"/>
              <w:jc w:val="center"/>
              <w:rPr>
                <w:rFonts w:ascii="Times New Roman"/>
                <w:sz w:val="28"/>
                <w:szCs w:val="28"/>
                <w:lang w:val="zh-CN"/>
              </w:rPr>
            </w:pPr>
            <w:r>
              <w:rPr>
                <w:rFonts w:ascii="Times New Roman" w:eastAsia="仿宋_GB2312"/>
                <w:sz w:val="28"/>
                <w:szCs w:val="28"/>
              </w:rPr>
              <w:t>新型研发机构</w:t>
            </w:r>
          </w:p>
        </w:tc>
        <w:tc>
          <w:tcPr>
            <w:tcW w:w="1442" w:type="dxa"/>
            <w:noWrap w:val="0"/>
            <w:vAlign w:val="center"/>
          </w:tcPr>
          <w:p>
            <w:pPr>
              <w:spacing w:line="400" w:lineRule="exact"/>
              <w:ind w:firstLine="0"/>
              <w:jc w:val="center"/>
              <w:rPr>
                <w:rFonts w:ascii="Times New Roman"/>
                <w:sz w:val="28"/>
                <w:szCs w:val="28"/>
                <w:lang w:val="zh-CN"/>
              </w:rPr>
            </w:pPr>
            <w:r>
              <w:rPr>
                <w:rFonts w:ascii="Times New Roman" w:eastAsia="仿宋_GB2312"/>
                <w:sz w:val="28"/>
                <w:szCs w:val="28"/>
              </w:rPr>
              <w:t>家</w:t>
            </w:r>
          </w:p>
        </w:tc>
        <w:tc>
          <w:tcPr>
            <w:tcW w:w="2120" w:type="dxa"/>
            <w:noWrap w:val="0"/>
            <w:vAlign w:val="center"/>
          </w:tcPr>
          <w:p>
            <w:pPr>
              <w:spacing w:line="400" w:lineRule="exact"/>
              <w:ind w:firstLine="0"/>
              <w:jc w:val="center"/>
              <w:rPr>
                <w:rFonts w:ascii="Times New Roman"/>
                <w:sz w:val="28"/>
                <w:szCs w:val="28"/>
                <w:lang w:val="zh-CN"/>
              </w:rPr>
            </w:pPr>
            <w:r>
              <w:rPr>
                <w:rFonts w:ascii="Times New Roman" w:eastAsia="仿宋_GB2312"/>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1" w:type="dxa"/>
            <w:noWrap w:val="0"/>
            <w:vAlign w:val="center"/>
          </w:tcPr>
          <w:p>
            <w:pPr>
              <w:spacing w:line="400" w:lineRule="exact"/>
              <w:ind w:firstLine="0"/>
              <w:jc w:val="center"/>
              <w:rPr>
                <w:rFonts w:ascii="Times New Roman"/>
                <w:sz w:val="28"/>
                <w:szCs w:val="28"/>
                <w:lang w:val="zh-CN"/>
              </w:rPr>
            </w:pPr>
            <w:r>
              <w:rPr>
                <w:rFonts w:ascii="Times New Roman"/>
                <w:sz w:val="28"/>
                <w:szCs w:val="28"/>
                <w:lang w:val="zh-CN"/>
              </w:rPr>
              <w:t>15</w:t>
            </w:r>
          </w:p>
        </w:tc>
        <w:tc>
          <w:tcPr>
            <w:tcW w:w="4812" w:type="dxa"/>
            <w:noWrap w:val="0"/>
            <w:vAlign w:val="center"/>
          </w:tcPr>
          <w:p>
            <w:pPr>
              <w:spacing w:line="400" w:lineRule="exact"/>
              <w:ind w:firstLine="0"/>
              <w:jc w:val="center"/>
              <w:rPr>
                <w:rFonts w:ascii="Times New Roman"/>
                <w:sz w:val="28"/>
                <w:szCs w:val="28"/>
                <w:lang w:val="zh-CN"/>
              </w:rPr>
            </w:pPr>
            <w:r>
              <w:rPr>
                <w:rFonts w:hint="eastAsia" w:ascii="Times New Roman" w:eastAsia="仿宋_GB2312"/>
                <w:sz w:val="28"/>
                <w:szCs w:val="28"/>
              </w:rPr>
              <w:t>新增科技上市企业</w:t>
            </w:r>
          </w:p>
        </w:tc>
        <w:tc>
          <w:tcPr>
            <w:tcW w:w="1442" w:type="dxa"/>
            <w:noWrap w:val="0"/>
            <w:vAlign w:val="center"/>
          </w:tcPr>
          <w:p>
            <w:pPr>
              <w:spacing w:line="400" w:lineRule="exact"/>
              <w:ind w:firstLine="0"/>
              <w:jc w:val="center"/>
              <w:rPr>
                <w:rFonts w:ascii="Times New Roman"/>
                <w:sz w:val="28"/>
                <w:szCs w:val="28"/>
                <w:lang w:val="zh-CN"/>
              </w:rPr>
            </w:pPr>
            <w:r>
              <w:rPr>
                <w:rFonts w:hint="eastAsia" w:ascii="Times New Roman" w:eastAsia="仿宋_GB2312"/>
                <w:sz w:val="28"/>
                <w:szCs w:val="28"/>
              </w:rPr>
              <w:t>家</w:t>
            </w:r>
          </w:p>
        </w:tc>
        <w:tc>
          <w:tcPr>
            <w:tcW w:w="2120" w:type="dxa"/>
            <w:noWrap w:val="0"/>
            <w:vAlign w:val="center"/>
          </w:tcPr>
          <w:p>
            <w:pPr>
              <w:spacing w:line="400" w:lineRule="exact"/>
              <w:ind w:firstLine="0"/>
              <w:jc w:val="center"/>
              <w:rPr>
                <w:rFonts w:ascii="Times New Roman"/>
                <w:sz w:val="28"/>
                <w:szCs w:val="28"/>
                <w:lang w:val="zh-CN"/>
              </w:rPr>
            </w:pPr>
            <w:r>
              <w:rPr>
                <w:rFonts w:hint="eastAsia" w:ascii="Times New Roman" w:eastAsia="仿宋_GB2312"/>
                <w:sz w:val="28"/>
                <w:szCs w:val="28"/>
              </w:rPr>
              <w:t>10</w:t>
            </w:r>
          </w:p>
        </w:tc>
      </w:tr>
    </w:tbl>
    <w:p>
      <w:pPr>
        <w:widowControl/>
        <w:spacing w:line="590" w:lineRule="exact"/>
        <w:rPr>
          <w:rFonts w:ascii="Times New Roman"/>
          <w:szCs w:val="32"/>
        </w:rPr>
      </w:pPr>
    </w:p>
    <w:p>
      <w:pPr>
        <w:pStyle w:val="14"/>
        <w:rPr>
          <w:rFonts w:ascii="Times New Roman"/>
        </w:rPr>
      </w:pPr>
      <w:bookmarkStart w:id="52" w:name="_Toc14928_WPSOffice_Level1"/>
      <w:bookmarkStart w:id="53" w:name="_Toc2674"/>
      <w:bookmarkStart w:id="54" w:name="_Toc89090198"/>
      <w:bookmarkStart w:id="55" w:name="_Toc25257_WPSOffice_Level1"/>
      <w:r>
        <w:rPr>
          <w:rFonts w:ascii="Times New Roman"/>
        </w:rPr>
        <w:t>第四章</w:t>
      </w:r>
      <w:r>
        <w:rPr>
          <w:rFonts w:hint="eastAsia" w:ascii="Times New Roman"/>
        </w:rPr>
        <w:t xml:space="preserve"> </w:t>
      </w:r>
      <w:r>
        <w:rPr>
          <w:rFonts w:ascii="Times New Roman"/>
        </w:rPr>
        <w:t>构建新发展格局，谱写科技创新新篇章</w:t>
      </w:r>
      <w:bookmarkEnd w:id="52"/>
      <w:bookmarkEnd w:id="53"/>
      <w:bookmarkEnd w:id="54"/>
      <w:bookmarkEnd w:id="55"/>
    </w:p>
    <w:p>
      <w:pPr>
        <w:spacing w:line="560" w:lineRule="exact"/>
        <w:jc w:val="center"/>
        <w:rPr>
          <w:rFonts w:ascii="Times New Roman" w:eastAsia="方正黑体_GBK"/>
          <w:sz w:val="34"/>
          <w:szCs w:val="34"/>
        </w:rPr>
      </w:pPr>
    </w:p>
    <w:p>
      <w:pPr>
        <w:pStyle w:val="17"/>
        <w:ind w:firstLine="630"/>
        <w:rPr>
          <w:rFonts w:ascii="Times New Roman" w:hAnsi="Times New Roman"/>
        </w:rPr>
      </w:pPr>
      <w:bookmarkStart w:id="56" w:name="_Toc5645_WPSOffice_Level2"/>
      <w:bookmarkStart w:id="57" w:name="_Toc89090199"/>
      <w:bookmarkStart w:id="58" w:name="_Toc17149"/>
      <w:bookmarkStart w:id="59" w:name="_Toc29524_WPSOffice_Level2"/>
      <w:r>
        <w:rPr>
          <w:rFonts w:ascii="Times New Roman" w:hAnsi="Times New Roman"/>
        </w:rPr>
        <w:t>一、放大太仓格局，</w:t>
      </w:r>
      <w:bookmarkEnd w:id="56"/>
      <w:bookmarkEnd w:id="57"/>
      <w:bookmarkEnd w:id="58"/>
      <w:bookmarkEnd w:id="59"/>
      <w:r>
        <w:rPr>
          <w:rFonts w:hint="eastAsia" w:ascii="Times New Roman" w:hAnsi="Times New Roman"/>
        </w:rPr>
        <w:t>持续优化创新生态</w:t>
      </w:r>
    </w:p>
    <w:p>
      <w:pPr>
        <w:pStyle w:val="7"/>
        <w:ind w:firstLine="630"/>
        <w:rPr>
          <w:rFonts w:ascii="Times New Roman" w:hAnsi="Times New Roman"/>
        </w:rPr>
      </w:pPr>
      <w:bookmarkStart w:id="60" w:name="_Toc31122_WPSOffice_Level3"/>
      <w:bookmarkStart w:id="61" w:name="_Toc89090200"/>
      <w:r>
        <w:rPr>
          <w:rFonts w:ascii="Times New Roman"/>
        </w:rPr>
        <w:t>（一）更高水平开放，融入长三角一体化</w:t>
      </w:r>
      <w:bookmarkEnd w:id="60"/>
      <w:bookmarkEnd w:id="61"/>
    </w:p>
    <w:p>
      <w:pPr>
        <w:pStyle w:val="15"/>
        <w:rPr>
          <w:rFonts w:hint="eastAsia"/>
        </w:rPr>
      </w:pPr>
      <w:r>
        <w:rPr>
          <w:rFonts w:hint="eastAsia"/>
        </w:rPr>
        <w:t>1.推动沪太科技创新一体化</w:t>
      </w:r>
    </w:p>
    <w:p>
      <w:pPr>
        <w:pStyle w:val="15"/>
        <w:ind w:firstLine="633"/>
        <w:rPr>
          <w:rFonts w:hint="eastAsia"/>
        </w:rPr>
      </w:pPr>
      <w:r>
        <w:rPr>
          <w:rFonts w:hint="eastAsia"/>
          <w:b/>
          <w:bCs/>
        </w:rPr>
        <w:t>融入长三角区域创新一体化改革。</w:t>
      </w:r>
      <w:r>
        <w:rPr>
          <w:rFonts w:hint="eastAsia"/>
        </w:rPr>
        <w:t>积极加入长三角跨区域产权交易市场，支持建立统一信息发布和披露制度，加强公共资源交易平台互联共享。培育完善各类产权交易平台，优先落实知识产权初始分配与跨省交易制度。参与建立长三角统一的技术市场，实行区域内高技术企业与成果资质互认制度。以长三角G60科创走廊建设为牵引，实现区域联动发展。</w:t>
      </w:r>
      <w:r>
        <w:rPr>
          <w:rFonts w:hint="eastAsia"/>
          <w:b/>
          <w:bCs/>
        </w:rPr>
        <w:t>打造嘉昆太协同创新共同体。</w:t>
      </w:r>
      <w:r>
        <w:rPr>
          <w:rFonts w:hint="eastAsia"/>
        </w:rPr>
        <w:t>以嘉太科创产业园为基础，围绕推动原始创新、技术创新和产业创新，依托三地高等院校、科研院所、产业园区和企业，共同开展研发、成果运用与推广、标准研究制定等工作，逐步形成科技资源自由流动的开放创新生态。承接“大虹桥”片区产业辐射和转移，吸引产业链上下游企业来太仓进行创新创业、孵化加速和规模化生产。</w:t>
      </w:r>
      <w:r>
        <w:rPr>
          <w:rFonts w:hint="eastAsia"/>
          <w:b/>
          <w:bCs/>
        </w:rPr>
        <w:t>强化沪太科技创新协同合作</w:t>
      </w:r>
      <w:r>
        <w:rPr>
          <w:rFonts w:hint="eastAsia"/>
        </w:rPr>
        <w:t>。对接上海科创中心，加入以上海张江科学城为核心的区域协同创新网络，构建与上海协同配套、互为促进的产业、研发和人才引育体系，打造上海科创产业重要功能区。强化与上海科研院所在科技成果转化、重大科技平台共享等方面的合作，鼓励沪太双向科研合作和成果转化，建设上海科技成果重要转化基地。</w:t>
      </w:r>
    </w:p>
    <w:p>
      <w:pPr>
        <w:pStyle w:val="15"/>
        <w:rPr>
          <w:rFonts w:hint="eastAsia"/>
        </w:rPr>
      </w:pPr>
      <w:r>
        <w:rPr>
          <w:rFonts w:hint="eastAsia"/>
        </w:rPr>
        <w:t>2.塑造中德开放合作创新典范</w:t>
      </w:r>
    </w:p>
    <w:p>
      <w:pPr>
        <w:pStyle w:val="15"/>
        <w:ind w:firstLine="633"/>
        <w:rPr>
          <w:rFonts w:hint="eastAsia"/>
        </w:rPr>
      </w:pPr>
      <w:r>
        <w:rPr>
          <w:rFonts w:hint="eastAsia"/>
          <w:b/>
          <w:bCs/>
        </w:rPr>
        <w:t>打造中德高科技合作产业片区。</w:t>
      </w:r>
      <w:r>
        <w:rPr>
          <w:rFonts w:hint="eastAsia"/>
        </w:rPr>
        <w:t>高质量建设中德（太仓）合作创新园，规划中德（太仓）中小企业合作示范区，发挥弗劳恩霍夫硅酸盐研究所资源优势，引入德国创新资源要素，加强与德国创新产业高地联动发展，并以此打造国家级对德合作高水平开放平台，争取更多国家、省、苏州开放创新政策在太仓中德中小企业合作区先行先试。支持建设中德科技合作联盟、海外创新中心、离岸创新中心，推动太仓高新区（德国）创新孵化中心、太仓——德累斯顿航空新材料创新中心运作。</w:t>
      </w:r>
      <w:r>
        <w:rPr>
          <w:rFonts w:hint="eastAsia"/>
          <w:b/>
          <w:bCs/>
        </w:rPr>
        <w:t>拓展中德城市间科技合作交流</w:t>
      </w:r>
      <w:r>
        <w:rPr>
          <w:rFonts w:hint="eastAsia"/>
        </w:rPr>
        <w:t>。深化与德国南部、西部9个州的合作交流，拓展与汉堡、萨安州等北部、东部州的联系，促进科技领域交流。通过推动太仓港与汉堡港缔结姊妹港、持续办好德国“太仓日”、积极参与汉诺威工博会等形式，丰富科技合作交流，做深做优对德合作品牌，形成规模效应。</w:t>
      </w:r>
      <w:r>
        <w:rPr>
          <w:rFonts w:hint="eastAsia"/>
          <w:b/>
          <w:bCs/>
        </w:rPr>
        <w:t>推进中德创新资源双向流动。</w:t>
      </w:r>
      <w:r>
        <w:rPr>
          <w:rFonts w:hint="eastAsia"/>
        </w:rPr>
        <w:t>引导太仓企业“走出去”，参与国际标准和规则制定，拓展新兴市场。鼓励通过多种形式的国际园区合作，在全球范围内寻找可利用资源，加强人才交流、技术交流、跨境协作。鼓励企业将内部闲置资源进行外部市场化，将内部某些知识产权授权或转让给其他企业，同步推进创新资源的流入和流出。</w:t>
      </w:r>
    </w:p>
    <w:p>
      <w:pPr>
        <w:pStyle w:val="15"/>
        <w:rPr>
          <w:rFonts w:hint="eastAsia"/>
        </w:rPr>
      </w:pPr>
      <w:r>
        <w:rPr>
          <w:rFonts w:hint="eastAsia"/>
        </w:rPr>
        <w:t>3.全力推进国家高新区创建</w:t>
      </w:r>
    </w:p>
    <w:p>
      <w:pPr>
        <w:pStyle w:val="3"/>
        <w:spacing w:before="0" w:after="0" w:line="560" w:lineRule="exact"/>
        <w:ind w:firstLine="643" w:firstLineChars="200"/>
        <w:rPr>
          <w:rFonts w:hint="eastAsia" w:ascii="Times New Roman" w:eastAsia="仿宋_GB2312" w:cs="仿宋_GB2312"/>
          <w:b w:val="0"/>
        </w:rPr>
      </w:pPr>
      <w:r>
        <w:rPr>
          <w:rFonts w:hint="eastAsia" w:ascii="Times New Roman" w:eastAsia="仿宋_GB2312" w:cs="仿宋_GB2312"/>
          <w:bCs w:val="0"/>
        </w:rPr>
        <w:t>塑造优势产业集群。</w:t>
      </w:r>
      <w:r>
        <w:rPr>
          <w:rFonts w:hint="eastAsia" w:ascii="Times New Roman" w:eastAsia="仿宋_GB2312" w:cs="仿宋_GB2312"/>
          <w:b w:val="0"/>
        </w:rPr>
        <w:t>聚焦“121”现代产业体系，积极推行“链长制”，研究制定高新区产业链“链长制”工作方案。编制重点招商动态项目库，加强北上深及海外招商“触角”布局，面向全球开拓项目源，着力推进“补链、强链、延链”精准招商，引进一批总部型、旗舰型、高精尖和潜力型创新创业项目落地。</w:t>
      </w:r>
      <w:r>
        <w:rPr>
          <w:rFonts w:hint="eastAsia" w:ascii="Times New Roman" w:eastAsia="仿宋_GB2312" w:cs="仿宋_GB2312"/>
          <w:bCs w:val="0"/>
        </w:rPr>
        <w:t>培育高活力新型研发机构。</w:t>
      </w:r>
      <w:r>
        <w:rPr>
          <w:rFonts w:hint="eastAsia" w:ascii="Times New Roman" w:eastAsia="仿宋_GB2312" w:cs="仿宋_GB2312"/>
          <w:b w:val="0"/>
        </w:rPr>
        <w:t>支持新型研发机构与企业在产业链、创新链、价值链关键核心领域开展合作，实现“需求牵引”与“技术推动”良性互动。聚焦“121”现代产业体系的发展需求，针对性引进国内外高水平科研院所落户，再建设一批市场化、高水平新型研发机构。鼓励新型研发机构建立紧扣产业实际需求的研发模式和市场化弹性用人机制。</w:t>
      </w:r>
      <w:r>
        <w:rPr>
          <w:rFonts w:hint="eastAsia" w:ascii="Times New Roman" w:eastAsia="仿宋_GB2312" w:cs="仿宋_GB2312"/>
          <w:bCs w:val="0"/>
        </w:rPr>
        <w:t>推动内外资协同创新。</w:t>
      </w:r>
      <w:r>
        <w:rPr>
          <w:rFonts w:hint="eastAsia" w:ascii="Times New Roman" w:eastAsia="仿宋_GB2312" w:cs="仿宋_GB2312"/>
          <w:b w:val="0"/>
        </w:rPr>
        <w:t>积极链接国内外产业创新高地，通过建设海外离岸创新中心、太仓创新园、跨区域合作园区等方式，吸引撬动全球一流产业和创新资源，助推高新区产业升级。鼓励内外资企业发挥比较优势，通过联合实施产业链供应链协同项目、共建孵化载体等方式，实现互利共赢。</w:t>
      </w:r>
      <w:bookmarkStart w:id="62" w:name="_Toc28852_WPSOffice_Level3"/>
      <w:bookmarkStart w:id="63" w:name="_Toc89090201"/>
    </w:p>
    <w:p>
      <w:pPr>
        <w:pStyle w:val="7"/>
        <w:ind w:firstLine="630"/>
        <w:rPr>
          <w:rFonts w:ascii="Times New Roman" w:hAnsi="Times New Roman"/>
        </w:rPr>
      </w:pPr>
      <w:r>
        <w:rPr>
          <w:rFonts w:ascii="Times New Roman"/>
        </w:rPr>
        <w:t>（二）更高水平开放，提升金融综合实力</w:t>
      </w:r>
      <w:bookmarkEnd w:id="62"/>
      <w:bookmarkEnd w:id="63"/>
    </w:p>
    <w:p>
      <w:pPr>
        <w:pStyle w:val="15"/>
        <w:rPr>
          <w:rFonts w:hint="eastAsia"/>
        </w:rPr>
      </w:pPr>
      <w:r>
        <w:rPr>
          <w:rFonts w:hint="eastAsia"/>
        </w:rPr>
        <w:t>1.优化科技金融服务</w:t>
      </w:r>
    </w:p>
    <w:p>
      <w:pPr>
        <w:pStyle w:val="15"/>
        <w:ind w:firstLine="633"/>
        <w:rPr>
          <w:rFonts w:hint="eastAsia"/>
        </w:rPr>
      </w:pPr>
      <w:r>
        <w:rPr>
          <w:rFonts w:hint="eastAsia"/>
          <w:b/>
        </w:rPr>
        <w:t>加强科技金融信息化服务平台建设。</w:t>
      </w:r>
      <w:r>
        <w:rPr>
          <w:rFonts w:hint="eastAsia"/>
        </w:rPr>
        <w:t>发挥好</w:t>
      </w:r>
      <w:r>
        <w:rPr>
          <w:rFonts w:hint="eastAsia"/>
          <w:color w:val="000000"/>
        </w:rPr>
        <w:t>苏州市科技金融生态圈平台</w:t>
      </w:r>
      <w:r>
        <w:rPr>
          <w:rFonts w:hint="eastAsia"/>
        </w:rPr>
        <w:t>、太仓市双创综合服务平台作用，加大企业融资需求、银行信贷产品、投资机构信息等动态的发布力度，加强平台推广、运营，通过资金供需双方在线上高效对接，让信息“多跑路”，让企业“少跑腿”。</w:t>
      </w:r>
      <w:r>
        <w:rPr>
          <w:rFonts w:hint="eastAsia"/>
          <w:b/>
          <w:bCs/>
        </w:rPr>
        <w:t>运作好江苏省科技企业融资路演服务中心太仓分中心。</w:t>
      </w:r>
      <w:r>
        <w:rPr>
          <w:rFonts w:hint="eastAsia"/>
        </w:rPr>
        <w:t>重点围绕“创、服、投、贷、融”五方面开展业务。定期举办科技人才项目融资路演、企业融资知识、IPO上市、商业计划书撰写、投资相关法律风险等主题讲座，切实提高金融服务精准性。</w:t>
      </w:r>
      <w:r>
        <w:rPr>
          <w:rFonts w:hint="eastAsia"/>
          <w:b/>
          <w:bCs/>
        </w:rPr>
        <w:t>三立“政府+银行+保险+担保”的“组合拳”模式和快速风险补偿机制。</w:t>
      </w:r>
      <w:r>
        <w:rPr>
          <w:rFonts w:hint="eastAsia"/>
        </w:rPr>
        <w:t>拓展“苏科贷”“娄城科创人才贷”等金融服务产品，优先为科技企业提供首贷、首保、首投等定制化金融服务。</w:t>
      </w:r>
    </w:p>
    <w:p>
      <w:pPr>
        <w:pStyle w:val="15"/>
        <w:rPr>
          <w:rFonts w:hint="eastAsia"/>
        </w:rPr>
      </w:pPr>
      <w:r>
        <w:rPr>
          <w:rFonts w:hint="eastAsia"/>
        </w:rPr>
        <w:t>2.拓宽金融资本市场</w:t>
      </w:r>
    </w:p>
    <w:p>
      <w:pPr>
        <w:pStyle w:val="15"/>
        <w:ind w:firstLine="633"/>
        <w:rPr>
          <w:rFonts w:hint="eastAsia"/>
        </w:rPr>
      </w:pPr>
      <w:r>
        <w:rPr>
          <w:rFonts w:hint="eastAsia"/>
          <w:b/>
          <w:bCs/>
        </w:rPr>
        <w:t>引导企业科创板上市，</w:t>
      </w:r>
      <w:r>
        <w:rPr>
          <w:rFonts w:hint="eastAsia"/>
        </w:rPr>
        <w:t>推进资本市场与区域科技创新深度融合。高效运作长三角产业升级股权投资基金，</w:t>
      </w:r>
      <w:r>
        <w:rPr>
          <w:rFonts w:hint="eastAsia"/>
          <w:b/>
          <w:bCs/>
        </w:rPr>
        <w:t>发起设立太仓科技创新股权投资基金，</w:t>
      </w:r>
      <w:r>
        <w:rPr>
          <w:rFonts w:hint="eastAsia"/>
        </w:rPr>
        <w:t>鼓励发起设立种子基金、成果转化基金等，围绕航空航天、生物医药、高端装备制造等主导产业，利用“创投＋孵化”模式，围绕产业上下游进行多领域的创业投资，打造天使投资、VC／PE的完整投资服务链，为不同发展阶段的企业提供资金、平台与业务的组合支持。</w:t>
      </w:r>
      <w:r>
        <w:rPr>
          <w:rFonts w:hint="eastAsia"/>
          <w:b/>
          <w:bCs/>
        </w:rPr>
        <w:t>高效利用天使资本、风险投资和场外市场等社会资本，</w:t>
      </w:r>
      <w:r>
        <w:rPr>
          <w:rFonts w:hint="eastAsia"/>
        </w:rPr>
        <w:t>推动金融生态多样性与企业科创项目从基础研究、应用开发，到技术中试，再到规模化的商业化价值链相匹配，实现金融资本与科创项目的高效对接。</w:t>
      </w:r>
    </w:p>
    <w:p>
      <w:pPr>
        <w:pStyle w:val="15"/>
        <w:rPr>
          <w:rFonts w:hint="eastAsia"/>
        </w:rPr>
      </w:pPr>
      <w:r>
        <w:rPr>
          <w:rFonts w:hint="eastAsia"/>
        </w:rPr>
        <w:t>3.引进知名金融机构</w:t>
      </w:r>
    </w:p>
    <w:p>
      <w:pPr>
        <w:pStyle w:val="15"/>
        <w:ind w:firstLine="633"/>
        <w:rPr>
          <w:rFonts w:hint="eastAsia"/>
        </w:rPr>
      </w:pPr>
      <w:r>
        <w:rPr>
          <w:rFonts w:hint="eastAsia"/>
          <w:b/>
          <w:bCs/>
        </w:rPr>
        <w:t>引进本土金融机构，</w:t>
      </w:r>
      <w:r>
        <w:rPr>
          <w:rFonts w:hint="eastAsia"/>
        </w:rPr>
        <w:t>鼓励各类型商业银行在港区、高新区等区域设立科技支行等科技金融专营机构，为企业开展信用贷款、知识产权质押贷款、股权质押贷款、履约保证保险贷款等融资业务。鼓励各类保险机构在港区、高新区设立专门办事处，为区域企业在产品研发、生产、销售各环节以及数据安全、知识产权保护等方面提供保险保障，依法通过市场化投资方式为科技基础设施建设、企业科技创新活动提供保险资金支持。</w:t>
      </w:r>
      <w:r>
        <w:rPr>
          <w:rFonts w:hint="eastAsia"/>
          <w:b/>
          <w:bCs/>
        </w:rPr>
        <w:t>引进外资金融机构，</w:t>
      </w:r>
      <w:r>
        <w:rPr>
          <w:rFonts w:hint="eastAsia"/>
        </w:rPr>
        <w:t>支持太仓金融机构与上海国际金融中心联动共建综合性金融服务平台，为区域中小微企业与外资金融机构的对接提供服务。鼓励境内外各类资本和投资机构在太仓设立创业投资基金、股权投资基金、并购投资基金、产业投资基金和母基金等专业投资机构，开展创业投资。此外，支持与各类金融机构</w:t>
      </w:r>
      <w:r>
        <w:rPr>
          <w:rFonts w:hint="eastAsia"/>
          <w:b/>
          <w:bCs/>
        </w:rPr>
        <w:t>联合共建金融风险监测防控体系，</w:t>
      </w:r>
      <w:r>
        <w:rPr>
          <w:rFonts w:hint="eastAsia"/>
        </w:rPr>
        <w:t>共同防范化解区域金融风险。</w:t>
      </w:r>
    </w:p>
    <w:p>
      <w:pPr>
        <w:pStyle w:val="7"/>
        <w:ind w:firstLine="630"/>
        <w:rPr>
          <w:rFonts w:ascii="Times New Roman" w:hAnsi="Times New Roman"/>
        </w:rPr>
      </w:pPr>
      <w:bookmarkStart w:id="64" w:name="_Toc89090202"/>
      <w:bookmarkStart w:id="65" w:name="_Toc14928_WPSOffice_Level3"/>
      <w:r>
        <w:rPr>
          <w:rFonts w:ascii="Times New Roman"/>
        </w:rPr>
        <w:t>（三）更高水平开放，融入国内国际双循环</w:t>
      </w:r>
      <w:bookmarkEnd w:id="64"/>
      <w:bookmarkEnd w:id="65"/>
    </w:p>
    <w:p>
      <w:pPr>
        <w:pStyle w:val="15"/>
        <w:rPr>
          <w:rFonts w:hint="eastAsia"/>
        </w:rPr>
      </w:pPr>
      <w:r>
        <w:rPr>
          <w:rFonts w:hint="eastAsia"/>
        </w:rPr>
        <w:t>1.用创新视角发掘和培育企业</w:t>
      </w:r>
    </w:p>
    <w:p>
      <w:pPr>
        <w:pStyle w:val="15"/>
        <w:ind w:firstLine="633"/>
        <w:rPr>
          <w:rFonts w:hint="eastAsia"/>
        </w:rPr>
      </w:pPr>
      <w:r>
        <w:rPr>
          <w:rFonts w:hint="eastAsia"/>
          <w:b/>
          <w:bCs/>
        </w:rPr>
        <w:t>建立全球离岸孵化基地，</w:t>
      </w:r>
      <w:r>
        <w:rPr>
          <w:rFonts w:hint="eastAsia"/>
        </w:rPr>
        <w:t>将苏州国家先进制造技术国际创新园作为桥梁，加大与国际知名科技园、创新资源密集城市企业之间的交流合作力度，重点在欧洲发现和培育企业，将高成长性企业引入太仓加速发展，打造有影响力的跨国企业集群。</w:t>
      </w:r>
      <w:r>
        <w:rPr>
          <w:rFonts w:hint="eastAsia"/>
          <w:b/>
          <w:bCs/>
        </w:rPr>
        <w:t>全力打造独角兽培育生态，</w:t>
      </w:r>
      <w:r>
        <w:rPr>
          <w:rFonts w:hint="eastAsia"/>
        </w:rPr>
        <w:t>面向国内外挖掘、引进和培育5G、人工智能、工业互联网、汽车电子、消费电子等产业领域的优势企业，提升新兴产业活跃度，为其提供全生命周期的呵护培育，支持其深耕细作关键技术、高效运营管理模式、多样市场营销渠道，形成以独角兽企业领跑新经济的发展态势。</w:t>
      </w:r>
    </w:p>
    <w:p>
      <w:pPr>
        <w:pStyle w:val="15"/>
        <w:rPr>
          <w:rFonts w:hint="eastAsia"/>
        </w:rPr>
      </w:pPr>
      <w:r>
        <w:rPr>
          <w:rFonts w:hint="eastAsia"/>
        </w:rPr>
        <w:t>2.用创新链条串联和布局产业</w:t>
      </w:r>
    </w:p>
    <w:p>
      <w:pPr>
        <w:pStyle w:val="15"/>
        <w:ind w:firstLine="633"/>
        <w:rPr>
          <w:rFonts w:hint="eastAsia" w:cs="仿宋_GB2312"/>
        </w:rPr>
      </w:pPr>
      <w:r>
        <w:rPr>
          <w:rFonts w:hint="eastAsia" w:cs="仿宋_GB2312"/>
          <w:b/>
          <w:bCs/>
        </w:rPr>
        <w:t>提升产业链合作水平。</w:t>
      </w:r>
      <w:r>
        <w:rPr>
          <w:rFonts w:hint="eastAsia" w:cs="仿宋_GB2312"/>
          <w:lang w:val="zh-CN"/>
        </w:rPr>
        <w:t>鼓励</w:t>
      </w:r>
      <w:r>
        <w:rPr>
          <w:rFonts w:hint="eastAsia" w:cs="仿宋_GB2312"/>
        </w:rPr>
        <w:t>外</w:t>
      </w:r>
      <w:r>
        <w:rPr>
          <w:rFonts w:hint="eastAsia" w:cs="仿宋_GB2312"/>
          <w:lang w:val="zh-CN"/>
        </w:rPr>
        <w:t>企参与国内大循环，</w:t>
      </w:r>
      <w:r>
        <w:rPr>
          <w:rFonts w:hint="eastAsia" w:cs="仿宋_GB2312"/>
          <w:spacing w:val="-4"/>
        </w:rPr>
        <w:t>利用高新技术带动本地产业智能化改造升级，深化中德双向产业融合。</w:t>
      </w:r>
      <w:r>
        <w:rPr>
          <w:rFonts w:hint="eastAsia" w:cs="仿宋_GB2312"/>
        </w:rPr>
        <w:t>推动本土企业嵌入德资企业供应链体系</w:t>
      </w:r>
      <w:r>
        <w:rPr>
          <w:rFonts w:hint="eastAsia" w:cs="仿宋_GB2312"/>
          <w:lang w:val="zh-CN"/>
        </w:rPr>
        <w:t>，</w:t>
      </w:r>
      <w:r>
        <w:rPr>
          <w:rFonts w:hint="eastAsia" w:cs="仿宋_GB2312"/>
        </w:rPr>
        <w:t>开展双向协作配套和产需对接活动，</w:t>
      </w:r>
      <w:r>
        <w:rPr>
          <w:rFonts w:hint="eastAsia" w:cs="仿宋_GB2312"/>
          <w:lang w:val="zh-CN"/>
        </w:rPr>
        <w:t>增加民营企业“走进德企”活动频次，</w:t>
      </w:r>
      <w:r>
        <w:rPr>
          <w:rFonts w:hint="eastAsia" w:cs="仿宋_GB2312"/>
        </w:rPr>
        <w:t>鼓励民营企业赴德国考察、投资，深层次推进资本合作、人才交流、技术转让、研发机构共用等。</w:t>
      </w:r>
      <w:r>
        <w:rPr>
          <w:rFonts w:hint="eastAsia" w:cs="仿宋_GB2312"/>
          <w:b/>
          <w:bCs/>
        </w:rPr>
        <w:t>强化科技智力支撑。</w:t>
      </w:r>
      <w:r>
        <w:rPr>
          <w:rFonts w:hint="eastAsia" w:cs="仿宋_GB2312"/>
        </w:rPr>
        <w:t>鼓励外企设立研发机构，申报高新技术企业和工程技术研究中心，推动创新成果的本地化应用。鼓励外企进行智能化、数字化改造，申报科技小巨人、企业技术中心、示范智能车间（工厂）。创建国家高端装备制造业标准化试点，引导外企参加国内外标准化组织活动。</w:t>
      </w:r>
      <w:r>
        <w:rPr>
          <w:rFonts w:hint="eastAsia" w:cs="仿宋_GB2312"/>
          <w:lang w:val="zh-CN"/>
        </w:rPr>
        <w:t>鼓励引导</w:t>
      </w:r>
      <w:r>
        <w:rPr>
          <w:rFonts w:hint="eastAsia" w:cs="仿宋_GB2312"/>
        </w:rPr>
        <w:t>外</w:t>
      </w:r>
      <w:r>
        <w:rPr>
          <w:rFonts w:hint="eastAsia" w:cs="仿宋_GB2312"/>
          <w:lang w:val="zh-CN"/>
        </w:rPr>
        <w:t>国专家来太创新创业。推进高端人才奖励计划，支持</w:t>
      </w:r>
      <w:r>
        <w:rPr>
          <w:rFonts w:hint="eastAsia" w:cs="仿宋_GB2312"/>
        </w:rPr>
        <w:t>外</w:t>
      </w:r>
      <w:r>
        <w:rPr>
          <w:rFonts w:hint="eastAsia" w:cs="仿宋_GB2312"/>
          <w:lang w:val="zh-CN"/>
        </w:rPr>
        <w:t>企“高薪”聘“高人”。</w:t>
      </w:r>
    </w:p>
    <w:tbl>
      <w:tblPr>
        <w:tblStyle w:val="9"/>
        <w:tblpPr w:leftFromText="180" w:rightFromText="180" w:vertAnchor="text" w:horzAnchor="page" w:tblpX="1793" w:tblpY="9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4" w:type="dxa"/>
            <w:noWrap w:val="0"/>
            <w:vAlign w:val="top"/>
          </w:tcPr>
          <w:p>
            <w:pPr>
              <w:spacing w:line="590" w:lineRule="exact"/>
              <w:ind w:firstLine="0"/>
              <w:jc w:val="center"/>
              <w:rPr>
                <w:rFonts w:ascii="Times New Roman" w:eastAsia="仿宋_GB2312"/>
                <w:b/>
                <w:szCs w:val="32"/>
              </w:rPr>
            </w:pPr>
            <w:r>
              <w:rPr>
                <w:rFonts w:ascii="Times New Roman" w:eastAsia="黑体"/>
                <w:bCs/>
                <w:sz w:val="28"/>
                <w:szCs w:val="28"/>
              </w:rPr>
              <w:t>重大工程一 创新资源</w:t>
            </w:r>
            <w:r>
              <w:rPr>
                <w:rFonts w:hint="eastAsia" w:ascii="Times New Roman" w:eastAsia="黑体"/>
                <w:bCs/>
                <w:sz w:val="28"/>
                <w:szCs w:val="28"/>
              </w:rPr>
              <w:t>加速集聚</w:t>
            </w:r>
            <w:r>
              <w:rPr>
                <w:rFonts w:ascii="Times New Roman" w:eastAsia="黑体"/>
                <w:bCs/>
                <w:sz w:val="28"/>
                <w:szCs w:val="28"/>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44" w:type="dxa"/>
            <w:noWrap w:val="0"/>
            <w:vAlign w:val="top"/>
          </w:tcPr>
          <w:p>
            <w:pPr>
              <w:spacing w:line="580" w:lineRule="exact"/>
              <w:ind w:firstLine="560" w:firstLineChars="200"/>
              <w:rPr>
                <w:rFonts w:ascii="Times New Roman" w:eastAsia="宋体"/>
                <w:szCs w:val="32"/>
              </w:rPr>
            </w:pPr>
            <w:r>
              <w:rPr>
                <w:rFonts w:hint="eastAsia" w:ascii="Times New Roman" w:hAnsi="宋体" w:eastAsia="宋体"/>
                <w:sz w:val="28"/>
                <w:szCs w:val="28"/>
              </w:rPr>
              <w:t>建设一批高标准的研发机构、产业研究院、科技成果展示与交流平台、公共技术服务平台等，引导各种优质资源向创新型企业、创新型乡镇、创新型园区集中。</w:t>
            </w:r>
            <w:r>
              <w:rPr>
                <w:rFonts w:hint="eastAsia" w:ascii="Times New Roman" w:hAnsi="宋体" w:eastAsia="宋体"/>
                <w:b/>
                <w:bCs/>
                <w:sz w:val="28"/>
                <w:szCs w:val="28"/>
              </w:rPr>
              <w:t>加强创新载体建设。</w:t>
            </w:r>
            <w:r>
              <w:rPr>
                <w:rFonts w:hint="eastAsia" w:ascii="Times New Roman" w:hAnsi="宋体" w:eastAsia="宋体"/>
                <w:sz w:val="28"/>
                <w:szCs w:val="28"/>
              </w:rPr>
              <w:t>通过整合政府、高校、科研院所与企业的各种创新资源，对具有巨大经济潜力的产业前沿、共性技术进行研发、转化，推动产业结构升级和区域经济发展。到</w:t>
            </w:r>
            <w:r>
              <w:rPr>
                <w:rFonts w:hint="eastAsia" w:ascii="Times New Roman" w:eastAsia="宋体"/>
                <w:sz w:val="28"/>
                <w:szCs w:val="28"/>
              </w:rPr>
              <w:t>2025</w:t>
            </w:r>
            <w:r>
              <w:rPr>
                <w:rFonts w:hint="eastAsia" w:ascii="Times New Roman" w:hAnsi="宋体" w:eastAsia="宋体"/>
                <w:sz w:val="28"/>
                <w:szCs w:val="28"/>
              </w:rPr>
              <w:t>年，新增新型研发机构</w:t>
            </w:r>
            <w:r>
              <w:rPr>
                <w:rFonts w:hint="eastAsia" w:ascii="Times New Roman" w:eastAsia="宋体"/>
                <w:sz w:val="28"/>
                <w:szCs w:val="28"/>
              </w:rPr>
              <w:t>20</w:t>
            </w:r>
            <w:r>
              <w:rPr>
                <w:rFonts w:hint="eastAsia" w:ascii="Times New Roman" w:hAnsi="宋体" w:eastAsia="宋体"/>
                <w:sz w:val="28"/>
                <w:szCs w:val="28"/>
              </w:rPr>
              <w:t>家，实现创新载体集群效应和产业支撑效应。</w:t>
            </w:r>
            <w:r>
              <w:rPr>
                <w:rFonts w:hint="eastAsia" w:ascii="Times New Roman" w:hAnsi="宋体" w:eastAsia="宋体"/>
                <w:b/>
                <w:bCs/>
                <w:sz w:val="28"/>
                <w:szCs w:val="28"/>
              </w:rPr>
              <w:t>促进科技资源集聚共享。</w:t>
            </w:r>
            <w:r>
              <w:rPr>
                <w:rFonts w:hint="eastAsia" w:ascii="Times New Roman" w:hAnsi="宋体" w:eastAsia="宋体"/>
                <w:sz w:val="28"/>
                <w:szCs w:val="28"/>
              </w:rPr>
              <w:t>鼓励开展产学研协同创新，持续完善</w:t>
            </w:r>
            <w:r>
              <w:rPr>
                <w:rFonts w:hint="eastAsia" w:ascii="Times New Roman" w:eastAsia="宋体"/>
                <w:sz w:val="28"/>
                <w:szCs w:val="28"/>
              </w:rPr>
              <w:t>“</w:t>
            </w:r>
            <w:r>
              <w:rPr>
                <w:rFonts w:hint="eastAsia" w:ascii="Times New Roman" w:hAnsi="宋体" w:eastAsia="宋体"/>
                <w:sz w:val="28"/>
                <w:szCs w:val="28"/>
              </w:rPr>
              <w:t>政产学研金介</w:t>
            </w:r>
            <w:r>
              <w:rPr>
                <w:rFonts w:hint="eastAsia" w:ascii="Times New Roman" w:eastAsia="宋体"/>
                <w:sz w:val="28"/>
                <w:szCs w:val="28"/>
              </w:rPr>
              <w:t>”</w:t>
            </w:r>
            <w:r>
              <w:rPr>
                <w:rFonts w:hint="eastAsia" w:ascii="Times New Roman" w:hAnsi="宋体" w:eastAsia="宋体"/>
                <w:sz w:val="28"/>
                <w:szCs w:val="28"/>
              </w:rPr>
              <w:t>协同创新体制，引导科技型中小企业组建产业技术创新战略联盟、共设研发基金、共建实验室、实施研发众包，共享创新资源、开展协同创新。搭建科研机构、高等学校、大型企业共同参与的科技资源开放共享网络管理平台，促进科研仪器、实验设施等向科技型中小企业开放共享。</w:t>
            </w:r>
          </w:p>
        </w:tc>
      </w:tr>
    </w:tbl>
    <w:p>
      <w:pPr>
        <w:pStyle w:val="17"/>
        <w:ind w:firstLine="630"/>
        <w:rPr>
          <w:rFonts w:ascii="Times New Roman" w:hAnsi="Times New Roman"/>
        </w:rPr>
      </w:pPr>
      <w:bookmarkStart w:id="66" w:name="_Toc20343_WPSOffice_Level2"/>
      <w:bookmarkStart w:id="67" w:name="_Toc120_WPSOffice_Level2"/>
      <w:bookmarkStart w:id="68" w:name="_Toc89090203"/>
      <w:bookmarkStart w:id="69" w:name="_Toc30408"/>
      <w:r>
        <w:rPr>
          <w:rFonts w:ascii="Times New Roman" w:hAnsi="Times New Roman"/>
        </w:rPr>
        <w:t>二、放大人才价值，持续做优创新平台</w:t>
      </w:r>
      <w:bookmarkEnd w:id="66"/>
      <w:bookmarkEnd w:id="67"/>
      <w:bookmarkEnd w:id="68"/>
      <w:bookmarkEnd w:id="69"/>
    </w:p>
    <w:p>
      <w:pPr>
        <w:pStyle w:val="7"/>
        <w:ind w:firstLine="630"/>
        <w:rPr>
          <w:rFonts w:ascii="Times New Roman" w:hAnsi="Times New Roman"/>
        </w:rPr>
      </w:pPr>
      <w:bookmarkStart w:id="70" w:name="_Toc89090204"/>
      <w:bookmarkStart w:id="71" w:name="_Toc9255_WPSOffice_Level3"/>
      <w:r>
        <w:rPr>
          <w:rFonts w:ascii="Times New Roman"/>
        </w:rPr>
        <w:t>（一）增强人才竞争优势，</w:t>
      </w:r>
      <w:r>
        <w:rPr>
          <w:rFonts w:hint="eastAsia" w:ascii="Times New Roman"/>
        </w:rPr>
        <w:t>加快</w:t>
      </w:r>
      <w:r>
        <w:rPr>
          <w:rFonts w:ascii="Times New Roman"/>
        </w:rPr>
        <w:t>两校多院建设</w:t>
      </w:r>
      <w:bookmarkEnd w:id="70"/>
      <w:bookmarkEnd w:id="71"/>
    </w:p>
    <w:p>
      <w:pPr>
        <w:pStyle w:val="15"/>
        <w:rPr>
          <w:rFonts w:hint="eastAsia"/>
          <w:color w:val="FF0000"/>
        </w:rPr>
      </w:pPr>
      <w:r>
        <w:rPr>
          <w:rFonts w:hint="eastAsia"/>
        </w:rPr>
        <w:t>1.引进重大创新创业团队</w:t>
      </w:r>
    </w:p>
    <w:p>
      <w:pPr>
        <w:pStyle w:val="15"/>
        <w:ind w:firstLine="633"/>
        <w:rPr>
          <w:rFonts w:hint="eastAsia"/>
        </w:rPr>
      </w:pPr>
      <w:r>
        <w:rPr>
          <w:rFonts w:hint="eastAsia"/>
          <w:b/>
        </w:rPr>
        <w:t>加大顶尖人才团队引进力度。</w:t>
      </w:r>
      <w:r>
        <w:rPr>
          <w:rFonts w:hint="eastAsia"/>
          <w:color w:val="000000"/>
          <w:lang w:bidi="ar"/>
        </w:rPr>
        <w:t>围绕高端装备制造、新材料、生物医药、航空航天等产业领域，瞄准世界科技发展前沿，紧贴产业核心技术需求，引进5个具有引领性、原创性、标志性的顶尖人才团队。</w:t>
      </w:r>
      <w:r>
        <w:rPr>
          <w:rFonts w:hint="eastAsia"/>
          <w:b/>
          <w:bCs/>
        </w:rPr>
        <w:t>加强高层次人才团队培育</w:t>
      </w:r>
      <w:r>
        <w:rPr>
          <w:rFonts w:hint="eastAsia"/>
        </w:rPr>
        <w:t>。以“两校多院”为依托，加强对青年人才的引进和培养，着力培育一批重大创新创业团队，集聚一批适合我市产业发展需要的高层次人才，到2025年力争引进创新创业团队20个。</w:t>
      </w:r>
      <w:r>
        <w:rPr>
          <w:rFonts w:hint="eastAsia"/>
          <w:b/>
          <w:bCs/>
        </w:rPr>
        <w:t>发挥人才引领产业发展作用。</w:t>
      </w:r>
      <w:r>
        <w:rPr>
          <w:rFonts w:hint="eastAsia"/>
        </w:rPr>
        <w:t>充分借助人才团队打造优势产业集群，发挥人才在地方经济、产业发展中的引领作用，以“典型促引领”、以“联结促发展”，发挥人才助推剂作用，加速地方经济高质量发展。</w:t>
      </w:r>
    </w:p>
    <w:p>
      <w:pPr>
        <w:pStyle w:val="15"/>
        <w:rPr>
          <w:rFonts w:hint="eastAsia"/>
        </w:rPr>
      </w:pPr>
      <w:r>
        <w:rPr>
          <w:rFonts w:hint="eastAsia"/>
        </w:rPr>
        <w:t>2.培养创新创业领军人才</w:t>
      </w:r>
    </w:p>
    <w:p>
      <w:pPr>
        <w:pStyle w:val="15"/>
        <w:ind w:firstLine="633"/>
      </w:pPr>
      <w:r>
        <w:rPr>
          <w:rFonts w:hint="eastAsia"/>
          <w:b/>
          <w:bCs/>
        </w:rPr>
        <w:t>支持高层次人才的培育与创业</w:t>
      </w:r>
      <w:r>
        <w:rPr>
          <w:rFonts w:hint="eastAsia"/>
        </w:rPr>
        <w:t>。鼓励西北工业大学太仓长三角研究院围绕航空高端装备领域、江苏先进无机材料研究院围绕新材料领域设置硕士博士培养点、博士后流动工作站等高层次人才培育平台，引导相关领域高层次人才在太仓就业创业。</w:t>
      </w:r>
      <w:r>
        <w:rPr>
          <w:rFonts w:hint="eastAsia"/>
          <w:b/>
          <w:bCs/>
        </w:rPr>
        <w:t>提升人才政策服务。</w:t>
      </w:r>
      <w:r>
        <w:rPr>
          <w:rFonts w:hint="eastAsia"/>
        </w:rPr>
        <w:t>探索建设人才政策申报快速兑现平台，实现生活补贴、租房补贴、安家补贴等人才待遇“即申即享”服务。提升互联网宣传效能，加大政策宣传推介，让企业、项目、人才更好地了解政策、使用政策。建立“科创咖啡厅”政企交流机制，常态化进行座谈问需，实行“一企一策”。</w:t>
      </w:r>
      <w:r>
        <w:rPr>
          <w:rFonts w:hint="eastAsia"/>
          <w:b/>
          <w:bCs/>
        </w:rPr>
        <w:t>构建人才发展生态圈。</w:t>
      </w:r>
      <w:r>
        <w:rPr>
          <w:rFonts w:hint="eastAsia"/>
        </w:rPr>
        <w:t>用足用好“娄城人才贷”52亿元授信，引入元禾控股、毅达资本等头部创投机构，探索建立领军人才直投基金，有力提供金融支撑。优化资助模式，发挥资金扶持的最大效益。加强动态跟踪管理，择优筛选团队优、能力强、技术新、成果好、产业化快的企业作为重点培育对象给予滚动支持。根据创新创业企业的阶段特点和发展需求，集成优势科技资源，从多个节点、多个层面给予扶持，推动其创新发展、规模发展、跨越发展。</w:t>
      </w:r>
    </w:p>
    <w:p>
      <w:pPr>
        <w:pStyle w:val="7"/>
        <w:ind w:firstLine="630"/>
        <w:rPr>
          <w:rFonts w:ascii="Times New Roman" w:hAnsi="Times New Roman" w:eastAsia="仿宋_GB2312"/>
        </w:rPr>
      </w:pPr>
      <w:bookmarkStart w:id="72" w:name="_Toc22412_WPSOffice_Level3"/>
      <w:bookmarkStart w:id="73" w:name="_Toc89090205"/>
      <w:r>
        <w:rPr>
          <w:rFonts w:ascii="Times New Roman"/>
        </w:rPr>
        <w:t>（二）增强研发机构能力，</w:t>
      </w:r>
      <w:r>
        <w:rPr>
          <w:rFonts w:hint="eastAsia" w:ascii="Times New Roman"/>
        </w:rPr>
        <w:t>积极</w:t>
      </w:r>
      <w:r>
        <w:rPr>
          <w:rFonts w:ascii="Times New Roman"/>
        </w:rPr>
        <w:t>创建国家技术创新中心</w:t>
      </w:r>
      <w:bookmarkEnd w:id="72"/>
      <w:bookmarkEnd w:id="73"/>
    </w:p>
    <w:p>
      <w:pPr>
        <w:pStyle w:val="15"/>
        <w:rPr>
          <w:rFonts w:hint="eastAsia"/>
        </w:rPr>
      </w:pPr>
      <w:r>
        <w:rPr>
          <w:rFonts w:hint="eastAsia"/>
        </w:rPr>
        <w:t>1.扶持新型研发机构建设</w:t>
      </w:r>
    </w:p>
    <w:p>
      <w:pPr>
        <w:pStyle w:val="15"/>
        <w:ind w:firstLine="633"/>
        <w:rPr>
          <w:rFonts w:hint="eastAsia"/>
        </w:rPr>
      </w:pPr>
      <w:r>
        <w:rPr>
          <w:rFonts w:hint="eastAsia"/>
          <w:b/>
          <w:bCs/>
        </w:rPr>
        <w:t>长期稳定支持新研机构健康发展。</w:t>
      </w:r>
      <w:r>
        <w:rPr>
          <w:rFonts w:hint="eastAsia"/>
        </w:rPr>
        <w:t>鼓励企业通过投资主体多元化、运行机制市场化、管理机制现代化的方式，改建、自建或与高校科研院所共建开放型的新型研发机构，整合人才、技术、研发、资本等环节，撬动社会资本投入科研项目，实现科研、产业和资本三方对接。</w:t>
      </w:r>
      <w:r>
        <w:rPr>
          <w:rFonts w:hint="eastAsia"/>
          <w:b/>
          <w:bCs/>
        </w:rPr>
        <w:t>持续增强新研机构自我造血能力</w:t>
      </w:r>
      <w:r>
        <w:rPr>
          <w:rFonts w:hint="eastAsia"/>
        </w:rPr>
        <w:t>。支持太仓中科信息技术研究院、太仓光电技术研究所、江苏先进无机材料研究院、西北工业大学太仓长三角研究院等重点研发机构牵头组建新型研发机构联盟，在缩短技术研发到产业化的周期、企业孵化能力提升、多样化的成果转化途径等方面展开突破性的探索，率先尝试原创性、颠覆性技术研发与研发代工“双轮驱动”、“兼聘兼薪”等高效运作模式。推动江苏先进无机材料研究院与材料科学姑苏实验室进行战略合作，提升研发应用水平。</w:t>
      </w:r>
      <w:r>
        <w:rPr>
          <w:rFonts w:hint="eastAsia"/>
          <w:b/>
          <w:bCs/>
        </w:rPr>
        <w:t>支持各类产业创新平台建设</w:t>
      </w:r>
      <w:r>
        <w:rPr>
          <w:rFonts w:hint="eastAsia"/>
        </w:rPr>
        <w:t>。主动对接上海、北京等全国科技创新中心资源，引进更多跨行业、跨领域平台。支持娄江新城智汇谷、太仓港科创园、生物医药产业园等园区建设，打造太仓科创产业驱动新高地。鼓励各区镇打造特色鲜明、服务体系健全、产业导向突出的创新平台，推动苏州中科激光智能制造创新研究院、上海交大空天技术创新中心、清华力合智能网联汽车研发中心、德国德累斯顿工业大学太仓石墨烯新材料创新中心、苏州思萃免疫技术研究所等高质量发展。</w:t>
      </w:r>
    </w:p>
    <w:p>
      <w:pPr>
        <w:pStyle w:val="15"/>
        <w:rPr>
          <w:rFonts w:hint="eastAsia"/>
        </w:rPr>
      </w:pPr>
      <w:r>
        <w:rPr>
          <w:rFonts w:hint="eastAsia"/>
        </w:rPr>
        <w:t>2.争创国家创新平台</w:t>
      </w:r>
    </w:p>
    <w:p>
      <w:pPr>
        <w:pStyle w:val="15"/>
        <w:ind w:firstLine="633"/>
        <w:rPr>
          <w:rFonts w:hint="eastAsia"/>
        </w:rPr>
      </w:pPr>
      <w:r>
        <w:rPr>
          <w:rFonts w:hint="eastAsia"/>
          <w:b/>
          <w:bCs/>
        </w:rPr>
        <w:t>鼓励西北工业大学太仓长三角研究院争创国家创新平台。</w:t>
      </w:r>
      <w:r>
        <w:rPr>
          <w:rFonts w:hint="eastAsia"/>
        </w:rPr>
        <w:t>引导研究院整合区域各类创新资源，发展为航空产业领域国内一流、国际有一定影响力的新型研发机构和国家级创新基地。通过3-5年左右的建设，掌握一批航空产业前沿和共性关键技术，在全球范围吸纳聚集一批航空领域的专业人才，孵化一批航空产业有竞争力的科技型企业，支撑和引领区域航空产业发展。</w:t>
      </w:r>
      <w:r>
        <w:rPr>
          <w:rFonts w:hint="eastAsia"/>
          <w:b/>
          <w:bCs/>
        </w:rPr>
        <w:t>支持江苏先进无机材料研究院争创国家创新中心。</w:t>
      </w:r>
      <w:r>
        <w:rPr>
          <w:rFonts w:hint="eastAsia"/>
        </w:rPr>
        <w:t>发挥其在无机非金属材料领域的研发和应用优势，整合院士科研团队，以长三角生物医药和医疗器械创新中心建设为契机，打造国家级创新中心，推动一批优秀科研项目转移转化。</w:t>
      </w:r>
    </w:p>
    <w:p>
      <w:pPr>
        <w:pStyle w:val="7"/>
        <w:ind w:firstLine="630"/>
        <w:rPr>
          <w:rFonts w:ascii="Times New Roman" w:hAnsi="Times New Roman"/>
        </w:rPr>
      </w:pPr>
      <w:bookmarkStart w:id="74" w:name="_Toc89090206"/>
      <w:bookmarkStart w:id="75" w:name="_Toc23502_WPSOffice_Level3"/>
      <w:r>
        <w:rPr>
          <w:rFonts w:ascii="Times New Roman"/>
        </w:rPr>
        <w:t>（三）增强人才梯队建设，推动人才可持续发展</w:t>
      </w:r>
      <w:bookmarkEnd w:id="74"/>
      <w:bookmarkEnd w:id="75"/>
    </w:p>
    <w:p>
      <w:pPr>
        <w:pStyle w:val="15"/>
        <w:rPr>
          <w:rFonts w:hint="eastAsia"/>
        </w:rPr>
      </w:pPr>
      <w:r>
        <w:rPr>
          <w:rFonts w:hint="eastAsia"/>
        </w:rPr>
        <w:t>1.聚焦重点产业人才</w:t>
      </w:r>
    </w:p>
    <w:p>
      <w:pPr>
        <w:pStyle w:val="15"/>
        <w:ind w:firstLine="633"/>
        <w:rPr>
          <w:rFonts w:hint="eastAsia"/>
          <w:shd w:val="clear" w:color="auto" w:fill="FFFFFF"/>
        </w:rPr>
      </w:pPr>
      <w:r>
        <w:rPr>
          <w:rFonts w:hint="eastAsia"/>
          <w:b/>
          <w:bCs/>
          <w:shd w:val="clear" w:color="auto" w:fill="FFFFFF"/>
        </w:rPr>
        <w:t>优化重点产</w:t>
      </w:r>
      <w:r>
        <w:rPr>
          <w:rFonts w:hint="eastAsia"/>
          <w:b/>
          <w:bCs/>
          <w:shd w:val="clear" w:color="auto" w:fill="FFFFFF"/>
          <w:lang w:val="zh-CN"/>
        </w:rPr>
        <w:t>业类人才培育引进政策体系。</w:t>
      </w:r>
      <w:r>
        <w:rPr>
          <w:rFonts w:hint="eastAsia"/>
        </w:rPr>
        <w:t>依托西北工业大学“三航”优势，培育“先进载运设备及核心零部件”细分产业人才。围绕“11155”产业矩阵，</w:t>
      </w:r>
      <w:r>
        <w:rPr>
          <w:rFonts w:hint="eastAsia"/>
          <w:shd w:val="clear" w:color="auto" w:fill="FFFFFF"/>
        </w:rPr>
        <w:t>重点引进</w:t>
      </w:r>
      <w:r>
        <w:rPr>
          <w:rFonts w:hint="eastAsia"/>
          <w:lang w:bidi="ar"/>
        </w:rPr>
        <w:t>航空航天、生物医药的产业人才。</w:t>
      </w:r>
      <w:r>
        <w:rPr>
          <w:rFonts w:hint="eastAsia"/>
          <w:shd w:val="clear" w:color="auto" w:fill="FFFFFF"/>
        </w:rPr>
        <w:t>在招才引智、项目培育等方面给予便利化评审机制、差异化扶持体系，全面推进重点产业人才的引进和培育，</w:t>
      </w:r>
      <w:r>
        <w:rPr>
          <w:rFonts w:hint="eastAsia"/>
          <w:bCs/>
          <w:shd w:val="clear" w:color="auto" w:fill="FFFFFF"/>
        </w:rPr>
        <w:t>更大力度集聚一批产业“高精尖缺”人才，</w:t>
      </w:r>
      <w:r>
        <w:rPr>
          <w:rFonts w:hint="eastAsia"/>
          <w:shd w:val="clear" w:color="auto" w:fill="FFFFFF"/>
        </w:rPr>
        <w:t>助推先导产业加速腾飞。</w:t>
      </w:r>
    </w:p>
    <w:p>
      <w:pPr>
        <w:pStyle w:val="15"/>
        <w:rPr>
          <w:rFonts w:hint="eastAsia"/>
        </w:rPr>
      </w:pPr>
      <w:r>
        <w:rPr>
          <w:rFonts w:hint="eastAsia"/>
        </w:rPr>
        <w:t>2.支持人才灵活创业</w:t>
      </w:r>
    </w:p>
    <w:p>
      <w:pPr>
        <w:pStyle w:val="15"/>
        <w:ind w:firstLine="633"/>
        <w:rPr>
          <w:rFonts w:hint="eastAsia"/>
        </w:rPr>
      </w:pPr>
      <w:r>
        <w:rPr>
          <w:rFonts w:hint="eastAsia"/>
          <w:b/>
          <w:bCs/>
        </w:rPr>
        <w:t>优化科研人员企事业单位合理流动机制。</w:t>
      </w:r>
      <w:r>
        <w:rPr>
          <w:rFonts w:hint="eastAsia"/>
        </w:rPr>
        <w:t>符合条件的高等院校和科研院所科研人员，经所在单位批准，可带着科研项目和成果，保留基本待遇到企业开展创新工作或创办企业。结合太仓的产业实际，以新技术、新产品、新模式开辟创业新领域，助力产业扩链、补链、强链。支持上述人员以技术顾问、技术入股等形式到企业工作，配套创业咨询、金融顾问、“一条龙”创业公共服务等支撑。在调研分析创业人才的存量和意愿的基础上，针对柔性创业的各类人才进行集中培训引导，出台相关政策，以创业人才专项资助、创业贷款利息返还等形式进行扶持。</w:t>
      </w:r>
    </w:p>
    <w:p>
      <w:pPr>
        <w:pStyle w:val="7"/>
        <w:ind w:firstLine="630"/>
        <w:rPr>
          <w:rFonts w:ascii="Times New Roman" w:hAnsi="Times New Roman"/>
        </w:rPr>
      </w:pPr>
      <w:bookmarkStart w:id="76" w:name="_Toc89090207"/>
      <w:bookmarkStart w:id="77" w:name="_Toc28721_WPSOffice_Level2"/>
      <w:r>
        <w:rPr>
          <w:rFonts w:ascii="Times New Roman"/>
        </w:rPr>
        <w:t>（四）汇聚</w:t>
      </w:r>
      <w:r>
        <w:rPr>
          <w:rFonts w:hint="eastAsia" w:ascii="Times New Roman"/>
        </w:rPr>
        <w:t>科技创新</w:t>
      </w:r>
      <w:r>
        <w:rPr>
          <w:rFonts w:ascii="Times New Roman"/>
        </w:rPr>
        <w:t>资源，提升娄江新城能级</w:t>
      </w:r>
      <w:bookmarkEnd w:id="76"/>
    </w:p>
    <w:p>
      <w:pPr>
        <w:pStyle w:val="15"/>
        <w:rPr>
          <w:rFonts w:hint="eastAsia"/>
        </w:rPr>
      </w:pPr>
      <w:r>
        <w:rPr>
          <w:rFonts w:hint="eastAsia"/>
        </w:rPr>
        <w:t>1.打造科教人才集聚区</w:t>
      </w:r>
    </w:p>
    <w:p>
      <w:pPr>
        <w:pStyle w:val="15"/>
        <w:ind w:firstLine="633"/>
        <w:rPr>
          <w:rFonts w:hint="eastAsia"/>
        </w:rPr>
      </w:pPr>
      <w:r>
        <w:rPr>
          <w:rFonts w:hint="eastAsia"/>
          <w:b/>
          <w:bCs/>
        </w:rPr>
        <w:t>在资源统筹上，</w:t>
      </w:r>
      <w:r>
        <w:rPr>
          <w:rFonts w:hint="eastAsia"/>
        </w:rPr>
        <w:t>发挥西北工业大学和西交利物浦大学两所高校汇聚国内外高端科创要素的优势，充分运用科技镇长团“智囊团”资源，培育共享“政产学研用金”一体化的创新平台，搭建智能制造产业科创联盟，吸引邻沪高端智能制造人才创新创业。</w:t>
      </w:r>
      <w:r>
        <w:rPr>
          <w:rFonts w:hint="eastAsia"/>
          <w:b/>
          <w:bCs/>
        </w:rPr>
        <w:t>在空间布局上，</w:t>
      </w:r>
      <w:r>
        <w:rPr>
          <w:rFonts w:hint="eastAsia"/>
        </w:rPr>
        <w:t>坚持产城融合创新科技发展理念，加快建设中德创新城，建设好智汇谷、航空展示馆等载体平台。推动科教创新区实现校区、园区、社区的三区融合，促使校区资源向社区开放、社区服务向校区延伸，让大学的资源与活力带动娄江新城乃至整个太仓的发展，全面提升区域创新能级。</w:t>
      </w:r>
    </w:p>
    <w:p>
      <w:pPr>
        <w:pStyle w:val="15"/>
        <w:rPr>
          <w:rFonts w:hint="eastAsia"/>
        </w:rPr>
      </w:pPr>
      <w:r>
        <w:rPr>
          <w:rFonts w:hint="eastAsia"/>
        </w:rPr>
        <w:t>2.建设高铁创新核心圈</w:t>
      </w:r>
    </w:p>
    <w:p>
      <w:pPr>
        <w:pStyle w:val="15"/>
        <w:ind w:firstLine="633"/>
        <w:rPr>
          <w:rFonts w:hint="eastAsia"/>
        </w:rPr>
      </w:pPr>
      <w:r>
        <w:rPr>
          <w:rFonts w:hint="eastAsia"/>
          <w:b/>
          <w:bCs/>
        </w:rPr>
        <w:t>围绕铁路和地方的共赢发展，全面做好“高铁+”文章。</w:t>
      </w:r>
      <w:r>
        <w:rPr>
          <w:rFonts w:hint="eastAsia"/>
        </w:rPr>
        <w:t>加快娄江新城高铁站建设，发展特色高铁经济，利用高铁流通优势，对接上海自贸区、虹桥商务区，高品质规划建设高铁商务区，充实商务会展、休闲娱乐、金融办公等服务功能，为科技创新人才到太仓创新创业提供生活消费新空间，充分释放高铁商务圈支撑创新创业的潜能。</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10" w:type="dxa"/>
            <w:noWrap w:val="0"/>
            <w:vAlign w:val="top"/>
          </w:tcPr>
          <w:p>
            <w:pPr>
              <w:spacing w:line="590" w:lineRule="exact"/>
              <w:ind w:firstLine="0"/>
              <w:jc w:val="center"/>
              <w:rPr>
                <w:rFonts w:ascii="Times New Roman" w:eastAsia="仿宋_GB2312"/>
                <w:b/>
                <w:szCs w:val="32"/>
              </w:rPr>
            </w:pPr>
            <w:r>
              <w:rPr>
                <w:rFonts w:ascii="Times New Roman" w:eastAsia="黑体"/>
                <w:bCs/>
                <w:sz w:val="28"/>
                <w:szCs w:val="28"/>
              </w:rPr>
              <w:t>重大工程二 人才梯队建设工程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8410" w:type="dxa"/>
            <w:noWrap w:val="0"/>
            <w:vAlign w:val="top"/>
          </w:tcPr>
          <w:p>
            <w:pPr>
              <w:spacing w:line="580" w:lineRule="exact"/>
              <w:ind w:firstLine="560" w:firstLineChars="200"/>
              <w:rPr>
                <w:rFonts w:ascii="Times New Roman" w:eastAsia="宋体"/>
                <w:szCs w:val="32"/>
              </w:rPr>
            </w:pPr>
            <w:r>
              <w:rPr>
                <w:rFonts w:hint="eastAsia" w:ascii="Times New Roman" w:hAnsi="宋体" w:eastAsia="宋体"/>
                <w:sz w:val="28"/>
                <w:szCs w:val="28"/>
              </w:rPr>
              <w:t>围绕太仓生物医药、航空产业等重点领域，聚焦</w:t>
            </w:r>
            <w:r>
              <w:rPr>
                <w:rFonts w:hint="eastAsia" w:ascii="Times New Roman" w:eastAsia="宋体"/>
                <w:sz w:val="28"/>
                <w:szCs w:val="28"/>
              </w:rPr>
              <w:t>“</w:t>
            </w:r>
            <w:r>
              <w:rPr>
                <w:rFonts w:hint="eastAsia" w:ascii="Times New Roman" w:hAnsi="宋体" w:eastAsia="宋体"/>
                <w:sz w:val="28"/>
                <w:szCs w:val="28"/>
              </w:rPr>
              <w:t>先进载运设备及核心零部件</w:t>
            </w:r>
            <w:r>
              <w:rPr>
                <w:rFonts w:hint="eastAsia" w:ascii="Times New Roman" w:eastAsia="宋体"/>
                <w:sz w:val="28"/>
                <w:szCs w:val="28"/>
              </w:rPr>
              <w:t>”细分产业，布局服务产业链的人才链，实施升高、聚才、植根行动，引育并驱推进科技人才队伍建设，实现高层次人才新突破。</w:t>
            </w:r>
            <w:r>
              <w:rPr>
                <w:rFonts w:hint="eastAsia" w:ascii="Times New Roman" w:eastAsia="宋体"/>
                <w:b/>
                <w:bCs/>
                <w:sz w:val="28"/>
                <w:szCs w:val="28"/>
              </w:rPr>
              <w:t>实施“前沿带头人”凝聚工程。</w:t>
            </w:r>
            <w:r>
              <w:rPr>
                <w:rFonts w:hint="eastAsia" w:ascii="Times New Roman" w:eastAsia="宋体"/>
                <w:sz w:val="28"/>
                <w:szCs w:val="28"/>
              </w:rPr>
              <w:t>根据“11155”产业矩阵目标，壮大重点产业的人才队伍。借助长三角区域一体化发展带来的新机遇，用好“科创月”等招才引智平台，发挥科技招商中心作用，邀请高层次人才带项目、带技术、带资金来太仓创新创业。到2025年，资助本级科技领军人才数超700个，其中先进载运设备及核心零部件重点专项领域人才超200人，新引进落地人才项目400个以上。</w:t>
            </w:r>
            <w:r>
              <w:rPr>
                <w:rFonts w:hint="eastAsia" w:ascii="Times New Roman" w:eastAsia="宋体"/>
                <w:b/>
                <w:bCs/>
                <w:sz w:val="28"/>
                <w:szCs w:val="28"/>
              </w:rPr>
              <w:t>实施海外人才柔性引进。</w:t>
            </w:r>
            <w:r>
              <w:rPr>
                <w:rFonts w:hint="eastAsia" w:ascii="Times New Roman" w:eastAsia="宋体"/>
                <w:sz w:val="28"/>
                <w:szCs w:val="28"/>
              </w:rPr>
              <w:t>瞄准海外创新创业高地，依托海外高校院所、人才服务机构或基金建立离岸孵化器，着力集聚一批产业紧缺的国际一流科技人才、高水平团队。鼓励企业加大科研投入建设研发中心、创新中心，推动企业和人才积极申报外国专家工作室和外籍院士工作站。到2025年，引进外国智力累计达600人，新引进高端外籍人才超150人，外国专家工作室和外籍院士工作站达10家。</w:t>
            </w:r>
          </w:p>
        </w:tc>
      </w:tr>
    </w:tbl>
    <w:p>
      <w:pPr>
        <w:pStyle w:val="17"/>
        <w:ind w:firstLine="630"/>
        <w:rPr>
          <w:rFonts w:ascii="Times New Roman" w:hAnsi="Times New Roman"/>
        </w:rPr>
      </w:pPr>
      <w:bookmarkStart w:id="78" w:name="_Toc8164_WPSOffice_Level2"/>
      <w:bookmarkStart w:id="79" w:name="_Toc20113"/>
      <w:bookmarkStart w:id="80" w:name="_Toc89090208"/>
      <w:r>
        <w:rPr>
          <w:rFonts w:ascii="Times New Roman" w:hAnsi="Times New Roman"/>
        </w:rPr>
        <w:t>三、放大</w:t>
      </w:r>
      <w:r>
        <w:rPr>
          <w:rFonts w:hint="eastAsia" w:ascii="Times New Roman" w:hAnsi="Times New Roman"/>
        </w:rPr>
        <w:t>主体</w:t>
      </w:r>
      <w:r>
        <w:rPr>
          <w:rFonts w:ascii="Times New Roman" w:hAnsi="Times New Roman"/>
        </w:rPr>
        <w:t>地位，持续增强企业创新</w:t>
      </w:r>
      <w:bookmarkEnd w:id="77"/>
      <w:bookmarkEnd w:id="78"/>
      <w:bookmarkEnd w:id="79"/>
      <w:bookmarkEnd w:id="80"/>
    </w:p>
    <w:p>
      <w:pPr>
        <w:pStyle w:val="7"/>
        <w:ind w:firstLine="630"/>
        <w:rPr>
          <w:rFonts w:hint="eastAsia" w:ascii="Times New Roman" w:hAnsi="Times New Roman"/>
        </w:rPr>
      </w:pPr>
      <w:bookmarkStart w:id="81" w:name="_Toc89090210"/>
      <w:bookmarkStart w:id="82" w:name="_Toc6767_WPSOffice_Level3"/>
      <w:r>
        <w:rPr>
          <w:rFonts w:hint="eastAsia" w:ascii="Times New Roman" w:hAnsi="Times New Roman"/>
        </w:rPr>
        <w:t>（一）培育增量企业</w:t>
      </w:r>
      <w:bookmarkEnd w:id="81"/>
      <w:bookmarkEnd w:id="82"/>
    </w:p>
    <w:p>
      <w:pPr>
        <w:pStyle w:val="15"/>
        <w:rPr>
          <w:rFonts w:hint="eastAsia"/>
        </w:rPr>
      </w:pPr>
      <w:r>
        <w:rPr>
          <w:rFonts w:hint="eastAsia"/>
        </w:rPr>
        <w:t>1.掀起创业热潮</w:t>
      </w:r>
    </w:p>
    <w:p>
      <w:pPr>
        <w:pStyle w:val="15"/>
        <w:ind w:firstLine="633"/>
        <w:rPr>
          <w:rFonts w:hint="eastAsia"/>
        </w:rPr>
      </w:pPr>
      <w:r>
        <w:rPr>
          <w:rFonts w:hint="eastAsia"/>
          <w:b/>
          <w:bCs/>
        </w:rPr>
        <w:t>降低科技型企业创业门槛。</w:t>
      </w:r>
      <w:r>
        <w:rPr>
          <w:rFonts w:hint="eastAsia"/>
        </w:rPr>
        <w:t>支持放宽创业的学历要求，通过举办“精英周”、“创赢太仓”、全英创赛等系列招才引智活动，激发创业热情，引导优质项目落地创业。不断完善创业配套，在太仓市级科技计划项目中对各类科技创业大赛获奖项目的创业予以专项支持，限期无偿提供创业所需的场所，促进科技型企业持续涌现。</w:t>
      </w:r>
      <w:r>
        <w:rPr>
          <w:rFonts w:hint="eastAsia"/>
          <w:b/>
          <w:bCs/>
        </w:rPr>
        <w:t>支持产业领军企业建立开放式创新创业平台。</w:t>
      </w:r>
      <w:r>
        <w:rPr>
          <w:rFonts w:hint="eastAsia"/>
        </w:rPr>
        <w:t>鼓励平台通过技术联盟、技术并购、企业孵化等形式，实现创新要素在不同企业、个体之间的共享，形成创新要素整合、共享的开放空间。</w:t>
      </w:r>
    </w:p>
    <w:p>
      <w:pPr>
        <w:pStyle w:val="15"/>
        <w:rPr>
          <w:rFonts w:hint="eastAsia"/>
        </w:rPr>
      </w:pPr>
      <w:r>
        <w:rPr>
          <w:rFonts w:hint="eastAsia"/>
        </w:rPr>
        <w:t>2.加强科技招商</w:t>
      </w:r>
    </w:p>
    <w:p>
      <w:pPr>
        <w:pStyle w:val="15"/>
        <w:ind w:firstLine="633"/>
        <w:rPr>
          <w:rFonts w:hint="eastAsia"/>
        </w:rPr>
      </w:pPr>
      <w:r>
        <w:rPr>
          <w:rFonts w:hint="eastAsia"/>
          <w:b/>
          <w:bCs/>
        </w:rPr>
        <w:t>围绕“招优商”精准发力。</w:t>
      </w:r>
      <w:r>
        <w:rPr>
          <w:rFonts w:hint="eastAsia"/>
        </w:rPr>
        <w:t>聚焦科技创新、产业转型，助推经济高质量发展，通过科研院校、投资机构、科创载体、行业协会、地方商会、创新联盟等多重渠道，重点招引高水平载体平台、高科技企业、高层次人才、高规格科技基金、高质量科技服务等创新资源。</w:t>
      </w:r>
      <w:r>
        <w:rPr>
          <w:rFonts w:hint="eastAsia"/>
          <w:b/>
          <w:bCs/>
        </w:rPr>
        <w:t>围绕“优招商”强化服务。</w:t>
      </w:r>
      <w:r>
        <w:rPr>
          <w:rFonts w:hint="eastAsia"/>
        </w:rPr>
        <w:t>用好太仓市双创综合服务平台、太仓云招商平台，完善政策解读、场地展示、服务宣介等内容，更新招商数据库，动态发布招商信息，完善线上线下相结合的招商服务机制，加速项目落地。全方位做好项目落地后续服务，根据项目特点，提前做好人才申报、科技发展、上市融资等创新路径谋划，助力企业发展壮大。</w:t>
      </w:r>
    </w:p>
    <w:p>
      <w:pPr>
        <w:pStyle w:val="15"/>
        <w:rPr>
          <w:rFonts w:hint="eastAsia"/>
        </w:rPr>
      </w:pPr>
      <w:r>
        <w:rPr>
          <w:rFonts w:hint="eastAsia"/>
        </w:rPr>
        <w:t>3.培育领军企业</w:t>
      </w:r>
    </w:p>
    <w:p>
      <w:pPr>
        <w:pStyle w:val="15"/>
        <w:ind w:firstLine="633"/>
        <w:rPr>
          <w:rFonts w:hint="eastAsia"/>
        </w:rPr>
      </w:pPr>
      <w:r>
        <w:rPr>
          <w:rFonts w:hint="eastAsia"/>
          <w:b/>
          <w:bCs/>
        </w:rPr>
        <w:t>采取“一企一策”方式予以集成支持。</w:t>
      </w:r>
      <w:r>
        <w:rPr>
          <w:rFonts w:hint="eastAsia"/>
        </w:rPr>
        <w:t>遴选区域规模大、带动强的龙头企业，引导各类创新要素向企业集聚，支持龙头领军企业融入全球研发创新网络，牵头建设产业技术创新战略联盟，加速成为具有国际竞争力的创新型领军企业。</w:t>
      </w:r>
      <w:r>
        <w:rPr>
          <w:rFonts w:hint="eastAsia"/>
          <w:b/>
          <w:bCs/>
        </w:rPr>
        <w:t>探索“产业链+龙头企业”的培育路径。</w:t>
      </w:r>
      <w:r>
        <w:rPr>
          <w:rFonts w:hint="eastAsia"/>
        </w:rPr>
        <w:t>根据高端装备制造、新材料、物贸总部经济、生物医药、航空产业“11155”产业矩阵发展目标，加快引育行业龙头企业。发挥产业链龙头企业带动引领作用，树立高质量的企业标杆，在驱动产业发展的同时引领壮大区域企业规模。</w:t>
      </w:r>
    </w:p>
    <w:p>
      <w:pPr>
        <w:pStyle w:val="7"/>
        <w:ind w:firstLine="630"/>
        <w:rPr>
          <w:rFonts w:hint="eastAsia" w:ascii="Times New Roman" w:hAnsi="Times New Roman"/>
        </w:rPr>
      </w:pPr>
      <w:bookmarkStart w:id="83" w:name="_Toc24615_WPSOffice_Level3"/>
      <w:bookmarkStart w:id="84" w:name="_Toc89090211"/>
      <w:r>
        <w:rPr>
          <w:rFonts w:hint="eastAsia" w:ascii="Times New Roman" w:hAnsi="Times New Roman"/>
        </w:rPr>
        <w:t>（二）提升存量企业</w:t>
      </w:r>
      <w:bookmarkEnd w:id="83"/>
      <w:bookmarkEnd w:id="84"/>
    </w:p>
    <w:p>
      <w:pPr>
        <w:pStyle w:val="15"/>
        <w:rPr>
          <w:rFonts w:hint="eastAsia"/>
        </w:rPr>
      </w:pPr>
      <w:r>
        <w:rPr>
          <w:rFonts w:hint="eastAsia"/>
        </w:rPr>
        <w:t>1.传统型企业转型升级</w:t>
      </w:r>
    </w:p>
    <w:p>
      <w:pPr>
        <w:pStyle w:val="15"/>
        <w:ind w:firstLine="633"/>
        <w:rPr>
          <w:rFonts w:hint="eastAsia"/>
        </w:rPr>
      </w:pPr>
      <w:r>
        <w:rPr>
          <w:rFonts w:hint="eastAsia"/>
          <w:b/>
          <w:bCs/>
        </w:rPr>
        <w:t>梳理区域传统型企业目录。</w:t>
      </w:r>
      <w:r>
        <w:rPr>
          <w:rFonts w:hint="eastAsia"/>
        </w:rPr>
        <w:t>形成纺织、石化、电力等传统产业领域的企业清单，支持运用工业互联网、高新先进适用技术提升企业能级，优化产品结构，提高产品档次，增强市场竞争力。</w:t>
      </w:r>
      <w:r>
        <w:rPr>
          <w:rFonts w:hint="eastAsia"/>
          <w:b/>
          <w:bCs/>
        </w:rPr>
        <w:t>采用“一镇一园”的模式集聚传统企业。</w:t>
      </w:r>
      <w:r>
        <w:rPr>
          <w:rFonts w:hint="eastAsia"/>
        </w:rPr>
        <w:t>鼓励各区镇根据地域产业特色，开展产业补链、延链行动，支持传统企业并购重组、调整组织结构和生产模式，推动其进入现代企业序列，加速集聚形成产业园。</w:t>
      </w:r>
    </w:p>
    <w:p>
      <w:pPr>
        <w:pStyle w:val="15"/>
        <w:rPr>
          <w:rFonts w:hint="eastAsia"/>
        </w:rPr>
      </w:pPr>
      <w:r>
        <w:rPr>
          <w:rFonts w:hint="eastAsia"/>
        </w:rPr>
        <w:t>2.科技型中小企业成长壮大</w:t>
      </w:r>
    </w:p>
    <w:p>
      <w:pPr>
        <w:pStyle w:val="15"/>
        <w:ind w:firstLine="633"/>
        <w:rPr>
          <w:rFonts w:hint="eastAsia"/>
        </w:rPr>
      </w:pPr>
      <w:r>
        <w:rPr>
          <w:rFonts w:hint="eastAsia"/>
          <w:b/>
          <w:bCs/>
        </w:rPr>
        <w:t>支持科技型中小企业快速扩容</w:t>
      </w:r>
      <w:r>
        <w:rPr>
          <w:rFonts w:hint="eastAsia"/>
        </w:rPr>
        <w:t>。对创新基础好、有发展潜力的科技型中小企业，各类人才所创办的入库培育企业，获得认定的省民营科技企业，给予奖励支持，充实高新技术企业的后备力量。</w:t>
      </w:r>
      <w:r>
        <w:rPr>
          <w:rFonts w:hint="eastAsia"/>
          <w:b/>
          <w:bCs/>
        </w:rPr>
        <w:t>开展“揭榜挂帅”技术攻关活动</w:t>
      </w:r>
      <w:r>
        <w:rPr>
          <w:rFonts w:hint="eastAsia"/>
        </w:rPr>
        <w:t>。针对太仓科技型中小企业各行业急需攻关的技术难题，面向区域高校和科研院所发榜，企业投入和政府补助相结合，使技术成果更贴近市场并提升科技型中小企业的科研能力。</w:t>
      </w:r>
    </w:p>
    <w:p>
      <w:pPr>
        <w:pStyle w:val="15"/>
        <w:rPr>
          <w:rFonts w:hint="eastAsia"/>
        </w:rPr>
      </w:pPr>
      <w:r>
        <w:rPr>
          <w:rFonts w:hint="eastAsia"/>
        </w:rPr>
        <w:t>3.高新技术企业提质增效</w:t>
      </w:r>
    </w:p>
    <w:p>
      <w:pPr>
        <w:pStyle w:val="15"/>
        <w:ind w:firstLine="633"/>
        <w:rPr>
          <w:rFonts w:hint="eastAsia"/>
        </w:rPr>
      </w:pPr>
      <w:r>
        <w:rPr>
          <w:rFonts w:hint="eastAsia"/>
          <w:b/>
          <w:bCs/>
        </w:rPr>
        <w:t>支持高新技术企业在“科创板”上市。</w:t>
      </w:r>
      <w:r>
        <w:rPr>
          <w:rFonts w:hint="eastAsia"/>
        </w:rPr>
        <w:t>实施上市培育计划，为高新技术企业提供精准高效的专业服务，助推优质科创企业到“科创板”上市融资并给予财政资金扶助。</w:t>
      </w:r>
      <w:r>
        <w:rPr>
          <w:rFonts w:hint="eastAsia"/>
          <w:b/>
          <w:bCs/>
        </w:rPr>
        <w:t>配套支持高企承担苏州市级以上重大项目。鼓励高新技术企业</w:t>
      </w:r>
      <w:r>
        <w:rPr>
          <w:rFonts w:hint="eastAsia"/>
        </w:rPr>
        <w:t>参与重要标准的制定，围绕区域产业开展关键核心技术攻关和科技成果转化，深度提升高新技术企业创新能力。</w:t>
      </w:r>
    </w:p>
    <w:p>
      <w:pPr>
        <w:pStyle w:val="4"/>
        <w:rPr>
          <w:rFonts w:hint="eastAsia"/>
        </w:rPr>
      </w:pPr>
    </w:p>
    <w:p>
      <w:pPr>
        <w:pStyle w:val="4"/>
        <w:ind w:firstLine="640"/>
        <w:rPr>
          <w:rFonts w:hint="eastAsia"/>
        </w:rPr>
      </w:pPr>
    </w:p>
    <w:tbl>
      <w:tblPr>
        <w:tblStyle w:val="9"/>
        <w:tblpPr w:leftFromText="180" w:rightFromText="180" w:vertAnchor="text" w:horzAnchor="page" w:tblpX="1762" w:tblpY="16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noWrap w:val="0"/>
            <w:vAlign w:val="top"/>
          </w:tcPr>
          <w:p>
            <w:pPr>
              <w:spacing w:line="590" w:lineRule="exact"/>
              <w:ind w:firstLine="0"/>
              <w:jc w:val="center"/>
              <w:rPr>
                <w:rFonts w:ascii="Times New Roman" w:eastAsia="仿宋_GB2312"/>
                <w:b/>
                <w:sz w:val="28"/>
                <w:szCs w:val="28"/>
              </w:rPr>
            </w:pPr>
            <w:r>
              <w:rPr>
                <w:rFonts w:ascii="Times New Roman" w:eastAsia="黑体"/>
                <w:bCs/>
                <w:sz w:val="28"/>
                <w:szCs w:val="28"/>
              </w:rPr>
              <w:t>重大工程三 企业</w:t>
            </w:r>
            <w:r>
              <w:rPr>
                <w:rFonts w:hint="eastAsia" w:ascii="Times New Roman" w:eastAsia="黑体"/>
                <w:bCs/>
                <w:sz w:val="28"/>
                <w:szCs w:val="28"/>
              </w:rPr>
              <w:t>内生壮大</w:t>
            </w:r>
            <w:r>
              <w:rPr>
                <w:rFonts w:ascii="Times New Roman" w:eastAsia="黑体"/>
                <w:bCs/>
                <w:sz w:val="28"/>
                <w:szCs w:val="28"/>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8755" w:type="dxa"/>
            <w:noWrap w:val="0"/>
            <w:vAlign w:val="top"/>
          </w:tcPr>
          <w:p>
            <w:pPr>
              <w:spacing w:line="580" w:lineRule="exact"/>
              <w:ind w:firstLine="560" w:firstLineChars="200"/>
              <w:rPr>
                <w:rFonts w:ascii="Times New Roman" w:eastAsia="宋体"/>
                <w:sz w:val="28"/>
                <w:szCs w:val="28"/>
              </w:rPr>
            </w:pPr>
            <w:r>
              <w:rPr>
                <w:rFonts w:ascii="Times New Roman" w:eastAsia="宋体"/>
                <w:sz w:val="28"/>
                <w:szCs w:val="28"/>
              </w:rPr>
              <w:t>打造企业发展新引擎</w:t>
            </w:r>
            <w:r>
              <w:rPr>
                <w:rFonts w:hint="eastAsia" w:ascii="Times New Roman" w:eastAsia="宋体"/>
                <w:sz w:val="28"/>
                <w:szCs w:val="28"/>
              </w:rPr>
              <w:t>，</w:t>
            </w:r>
            <w:r>
              <w:rPr>
                <w:rFonts w:ascii="Times New Roman" w:eastAsia="宋体"/>
                <w:sz w:val="28"/>
                <w:szCs w:val="28"/>
              </w:rPr>
              <w:t>优化现有生产要素</w:t>
            </w:r>
            <w:r>
              <w:rPr>
                <w:rFonts w:hint="eastAsia" w:ascii="Times New Roman" w:eastAsia="宋体"/>
                <w:sz w:val="28"/>
                <w:szCs w:val="28"/>
              </w:rPr>
              <w:t>的组合</w:t>
            </w:r>
            <w:r>
              <w:rPr>
                <w:rFonts w:ascii="Times New Roman" w:eastAsia="宋体"/>
                <w:sz w:val="28"/>
                <w:szCs w:val="28"/>
              </w:rPr>
              <w:t>配置，鼓励从外延式的增长转变为内涵型的增长</w:t>
            </w:r>
            <w:r>
              <w:rPr>
                <w:rFonts w:hint="eastAsia" w:ascii="Times New Roman" w:eastAsia="宋体"/>
                <w:sz w:val="28"/>
                <w:szCs w:val="28"/>
              </w:rPr>
              <w:t>，</w:t>
            </w:r>
            <w:r>
              <w:rPr>
                <w:rFonts w:ascii="Times New Roman" w:eastAsia="宋体"/>
                <w:color w:val="333333"/>
                <w:sz w:val="28"/>
                <w:szCs w:val="28"/>
              </w:rPr>
              <w:t>实现企业创造活力内生增长。</w:t>
            </w:r>
            <w:r>
              <w:rPr>
                <w:rFonts w:hint="eastAsia" w:ascii="Times New Roman" w:eastAsia="宋体"/>
                <w:b/>
                <w:bCs/>
                <w:color w:val="333333"/>
                <w:sz w:val="28"/>
                <w:szCs w:val="28"/>
              </w:rPr>
              <w:t>打造企业协同创新模式。</w:t>
            </w:r>
            <w:r>
              <w:rPr>
                <w:rFonts w:hint="eastAsia" w:ascii="Times New Roman" w:eastAsia="宋体"/>
                <w:color w:val="333333"/>
                <w:sz w:val="28"/>
                <w:szCs w:val="28"/>
              </w:rPr>
              <w:t>探索创新“基金+载体+院校+企业”运作模式，以产业引导投资基金为杠杆、以科创载体为平台、以院校技术为支撑、建立企业协同创新平台。到2025年省级企业研发机构达250家，年评价入库科技型中小企业1500家以上。</w:t>
            </w:r>
            <w:r>
              <w:rPr>
                <w:rFonts w:hint="eastAsia" w:ascii="Times New Roman" w:eastAsia="宋体"/>
                <w:b/>
                <w:bCs/>
                <w:sz w:val="28"/>
                <w:szCs w:val="28"/>
              </w:rPr>
              <w:t>构建企业融通发展生态。</w:t>
            </w:r>
            <w:r>
              <w:rPr>
                <w:rFonts w:ascii="Times New Roman" w:eastAsia="宋体"/>
                <w:sz w:val="28"/>
                <w:szCs w:val="28"/>
              </w:rPr>
              <w:t>通过</w:t>
            </w:r>
            <w:r>
              <w:rPr>
                <w:rFonts w:hint="eastAsia" w:ascii="Times New Roman" w:eastAsia="宋体"/>
                <w:sz w:val="28"/>
                <w:szCs w:val="28"/>
              </w:rPr>
              <w:t>深入实施新型产业用地政策、科技政策、招商政策，增加企业家凝聚力，</w:t>
            </w:r>
            <w:r>
              <w:rPr>
                <w:rFonts w:ascii="Times New Roman" w:eastAsia="宋体"/>
                <w:sz w:val="28"/>
                <w:szCs w:val="28"/>
              </w:rPr>
              <w:t>营造最优营商环境</w:t>
            </w:r>
            <w:r>
              <w:rPr>
                <w:rFonts w:hint="eastAsia" w:ascii="Times New Roman" w:eastAsia="宋体"/>
                <w:sz w:val="28"/>
                <w:szCs w:val="28"/>
              </w:rPr>
              <w:t>，带动区域传统企业向高新技术企业转型，壮大</w:t>
            </w:r>
            <w:r>
              <w:rPr>
                <w:rFonts w:ascii="Times New Roman" w:eastAsia="宋体"/>
                <w:sz w:val="28"/>
                <w:szCs w:val="28"/>
              </w:rPr>
              <w:t>一批深度扎根的</w:t>
            </w:r>
            <w:r>
              <w:rPr>
                <w:rFonts w:hint="eastAsia" w:ascii="Times New Roman" w:eastAsia="宋体"/>
                <w:sz w:val="28"/>
                <w:szCs w:val="28"/>
              </w:rPr>
              <w:t>企业集群，推动</w:t>
            </w:r>
            <w:r>
              <w:rPr>
                <w:rFonts w:ascii="Times New Roman" w:eastAsia="宋体"/>
                <w:sz w:val="28"/>
                <w:szCs w:val="28"/>
              </w:rPr>
              <w:t>大中小</w:t>
            </w:r>
            <w:r>
              <w:rPr>
                <w:rFonts w:hint="eastAsia" w:ascii="Times New Roman" w:eastAsia="宋体"/>
                <w:sz w:val="28"/>
                <w:szCs w:val="28"/>
              </w:rPr>
              <w:t>、上下游</w:t>
            </w:r>
            <w:r>
              <w:rPr>
                <w:rFonts w:ascii="Times New Roman" w:eastAsia="宋体"/>
                <w:sz w:val="28"/>
                <w:szCs w:val="28"/>
              </w:rPr>
              <w:t>企业</w:t>
            </w:r>
            <w:r>
              <w:rPr>
                <w:rFonts w:hint="eastAsia" w:ascii="Times New Roman" w:eastAsia="宋体"/>
                <w:sz w:val="28"/>
                <w:szCs w:val="28"/>
              </w:rPr>
              <w:t>利益联结、共同</w:t>
            </w:r>
            <w:r>
              <w:rPr>
                <w:rFonts w:ascii="Times New Roman" w:eastAsia="宋体"/>
                <w:sz w:val="28"/>
                <w:szCs w:val="28"/>
              </w:rPr>
              <w:t>发展</w:t>
            </w:r>
            <w:r>
              <w:rPr>
                <w:rFonts w:hint="eastAsia" w:ascii="Times New Roman" w:eastAsia="宋体"/>
                <w:sz w:val="28"/>
                <w:szCs w:val="28"/>
              </w:rPr>
              <w:t>。到2025年有效高新技术企业达1600家以上，每年新增有效高价值发明专利200件以上，高新技术产业产值占规模以上工业总产值比重达52%。</w:t>
            </w:r>
          </w:p>
        </w:tc>
      </w:tr>
    </w:tbl>
    <w:p>
      <w:pPr>
        <w:pStyle w:val="17"/>
        <w:ind w:firstLine="630"/>
        <w:rPr>
          <w:rFonts w:ascii="Times New Roman" w:hAnsi="Times New Roman"/>
        </w:rPr>
      </w:pPr>
      <w:bookmarkStart w:id="85" w:name="_Toc32262_WPSOffice_Level2"/>
      <w:bookmarkStart w:id="86" w:name="_Toc4686_WPSOffice_Level2"/>
      <w:bookmarkStart w:id="87" w:name="_Toc89090212"/>
      <w:bookmarkStart w:id="88" w:name="_Toc2916"/>
      <w:r>
        <w:rPr>
          <w:rFonts w:ascii="Times New Roman" w:hAnsi="Times New Roman"/>
        </w:rPr>
        <w:t>四、放大创新空间，持续做大创新势能</w:t>
      </w:r>
      <w:bookmarkEnd w:id="85"/>
      <w:bookmarkEnd w:id="86"/>
      <w:bookmarkEnd w:id="87"/>
      <w:bookmarkEnd w:id="88"/>
    </w:p>
    <w:p>
      <w:pPr>
        <w:pStyle w:val="7"/>
        <w:ind w:firstLine="630"/>
        <w:rPr>
          <w:rFonts w:ascii="Times New Roman" w:hAnsi="Times New Roman"/>
        </w:rPr>
      </w:pPr>
      <w:bookmarkStart w:id="89" w:name="_Toc26243_WPSOffice_Level3"/>
      <w:bookmarkStart w:id="90" w:name="_Toc89090213"/>
      <w:r>
        <w:rPr>
          <w:rFonts w:ascii="Times New Roman" w:hAnsi="Times New Roman"/>
        </w:rPr>
        <w:t>（一）构建全域创新</w:t>
      </w:r>
      <w:r>
        <w:rPr>
          <w:rStyle w:val="12"/>
          <w:rFonts w:ascii="Times New Roman" w:hAnsi="Times New Roman"/>
          <w:sz w:val="32"/>
        </w:rPr>
        <w:t>社会生态</w:t>
      </w:r>
      <w:bookmarkEnd w:id="89"/>
      <w:bookmarkEnd w:id="90"/>
    </w:p>
    <w:p>
      <w:pPr>
        <w:pStyle w:val="15"/>
        <w:rPr>
          <w:rFonts w:hint="eastAsia"/>
        </w:rPr>
      </w:pPr>
      <w:r>
        <w:rPr>
          <w:rFonts w:hint="eastAsia"/>
        </w:rPr>
        <w:t>1.推动科技创新信息化</w:t>
      </w:r>
    </w:p>
    <w:p>
      <w:pPr>
        <w:pStyle w:val="15"/>
        <w:ind w:firstLine="633"/>
        <w:rPr>
          <w:rFonts w:hint="eastAsia"/>
        </w:rPr>
      </w:pPr>
      <w:r>
        <w:rPr>
          <w:rFonts w:hint="eastAsia"/>
          <w:b/>
          <w:bCs/>
        </w:rPr>
        <w:t>基于信息化的无边界创新。</w:t>
      </w:r>
      <w:r>
        <w:rPr>
          <w:rFonts w:hint="eastAsia"/>
        </w:rPr>
        <w:t>制作信息化的科创载体地图，通过对太仓现有老写字楼、老厂房、棚户区等加以改造，释放出创新空间，嵌入式的容纳创新创业者。</w:t>
      </w:r>
      <w:r>
        <w:rPr>
          <w:rFonts w:hint="eastAsia"/>
          <w:b/>
          <w:bCs/>
        </w:rPr>
        <w:t>打造区域创新网络资源库。</w:t>
      </w:r>
      <w:r>
        <w:rPr>
          <w:rFonts w:hint="eastAsia"/>
        </w:rPr>
        <w:t>将创新主体、创新要素从地理空间集聚式合作方式转变为在互联网网络空间集聚式合作方式，在技术与产业创新方面形成多元化主体共同参与创新的局面。</w:t>
      </w:r>
    </w:p>
    <w:p>
      <w:pPr>
        <w:pStyle w:val="15"/>
        <w:rPr>
          <w:rFonts w:hint="eastAsia"/>
        </w:rPr>
      </w:pPr>
      <w:r>
        <w:rPr>
          <w:rFonts w:hint="eastAsia"/>
        </w:rPr>
        <w:t>2.推动跨界创新融合创新</w:t>
      </w:r>
    </w:p>
    <w:p>
      <w:pPr>
        <w:pStyle w:val="15"/>
        <w:ind w:firstLine="633"/>
        <w:rPr>
          <w:rFonts w:hint="eastAsia"/>
        </w:rPr>
      </w:pPr>
      <w:r>
        <w:rPr>
          <w:rFonts w:hint="eastAsia"/>
          <w:b/>
          <w:bCs/>
        </w:rPr>
        <w:t>不断完善创新工作例会、创新发展顾问制度，</w:t>
      </w:r>
      <w:r>
        <w:rPr>
          <w:rFonts w:hint="eastAsia"/>
        </w:rPr>
        <w:t>推进科学决策，及时有效研究解决创新工作推进中的重大问题，切实提高各类创新工作政策执行力，以科技创新为先驱，触发农业科技创新、工业互联网创新、文化旅游创新等一二三产业的融合创新。</w:t>
      </w:r>
      <w:r>
        <w:rPr>
          <w:rFonts w:hint="eastAsia"/>
          <w:b/>
          <w:bCs/>
        </w:rPr>
        <w:t>深入对接上海高端科技服务资源，</w:t>
      </w:r>
      <w:r>
        <w:rPr>
          <w:rFonts w:hint="eastAsia"/>
        </w:rPr>
        <w:t>发挥好</w:t>
      </w:r>
      <w:r>
        <w:t>长三角“双创券”综合服务平台、</w:t>
      </w:r>
      <w:r>
        <w:rPr>
          <w:rFonts w:hint="eastAsia"/>
        </w:rPr>
        <w:t>太仓市科技创新服务联盟等融合创新作用，促进沪太两地在科技领域政策互通、平台协同、资源整合。</w:t>
      </w:r>
    </w:p>
    <w:p>
      <w:pPr>
        <w:pStyle w:val="7"/>
        <w:ind w:firstLine="630"/>
        <w:rPr>
          <w:rFonts w:ascii="Times New Roman" w:hAnsi="Times New Roman"/>
        </w:rPr>
      </w:pPr>
      <w:bookmarkStart w:id="91" w:name="_Toc3110_WPSOffice_Level3"/>
      <w:bookmarkStart w:id="92" w:name="_Toc89090214"/>
      <w:r>
        <w:rPr>
          <w:rFonts w:ascii="Times New Roman" w:hAnsi="Times New Roman"/>
        </w:rPr>
        <w:t>（二）加快推动太仓高新区升格国家高新区</w:t>
      </w:r>
      <w:bookmarkEnd w:id="91"/>
      <w:bookmarkEnd w:id="92"/>
    </w:p>
    <w:p>
      <w:pPr>
        <w:pStyle w:val="15"/>
        <w:rPr>
          <w:rFonts w:hint="eastAsia"/>
        </w:rPr>
      </w:pPr>
      <w:r>
        <w:rPr>
          <w:rFonts w:hint="eastAsia"/>
        </w:rPr>
        <w:t>1.做大创新主体，培育创新型企业森林</w:t>
      </w:r>
    </w:p>
    <w:p>
      <w:pPr>
        <w:pStyle w:val="15"/>
        <w:ind w:firstLine="633"/>
        <w:rPr>
          <w:rFonts w:hint="eastAsia"/>
        </w:rPr>
      </w:pPr>
      <w:r>
        <w:rPr>
          <w:rFonts w:hint="eastAsia"/>
          <w:b/>
          <w:bCs/>
        </w:rPr>
        <w:t>加快培育雏鹰—瞪羚—准独角兽企业梯队，</w:t>
      </w:r>
      <w:r>
        <w:rPr>
          <w:rFonts w:hint="eastAsia"/>
        </w:rPr>
        <w:t>明确高新区年度发展目标，建立筛选考评机制，分类型建立培育档案库，积极打造多样化的科技企业梯队，快速放大各类企业的辐射带动功能，进一步发挥其经济增长的新动力、创新创业的生力军、市场发展活力的风向标作用。</w:t>
      </w:r>
    </w:p>
    <w:p>
      <w:pPr>
        <w:pStyle w:val="15"/>
        <w:rPr>
          <w:rFonts w:hint="eastAsia"/>
          <w:b/>
          <w:bCs/>
        </w:rPr>
      </w:pPr>
      <w:r>
        <w:rPr>
          <w:rFonts w:hint="eastAsia"/>
        </w:rPr>
        <w:t>2.做优产业格局，筑高创新平台阵地</w:t>
      </w:r>
    </w:p>
    <w:p>
      <w:pPr>
        <w:pStyle w:val="15"/>
        <w:ind w:firstLine="633"/>
        <w:rPr>
          <w:rFonts w:hint="eastAsia"/>
        </w:rPr>
      </w:pPr>
      <w:r>
        <w:rPr>
          <w:rFonts w:hint="eastAsia"/>
          <w:b/>
          <w:bCs/>
        </w:rPr>
        <w:t>搭建“产业+创新平台”的创新阵地。</w:t>
      </w:r>
      <w:r>
        <w:rPr>
          <w:rFonts w:hint="eastAsia"/>
        </w:rPr>
        <w:t>围绕中德合作，以高精密成套设备和汽车零部件两大产业领域为切入点，积极对接慕尼黑工业大学、海德堡大学、德累斯顿工业大学、德资企业研发中心等机构，在高新区共建精密设备制造创新平台。围绕生物医药产业，积极对接苏州工业园区、上海科创中心生物医药产业高端平台，加快建设长三角医疗器械材料协同创新中心，助推生物医药产业基础高级化。围绕新材料产业的发展需求，推动与姑苏材料实验室进行战略合作，推动形成航空新材料产业协同创新中心。</w:t>
      </w:r>
    </w:p>
    <w:p>
      <w:pPr>
        <w:pStyle w:val="15"/>
        <w:rPr>
          <w:rFonts w:hint="eastAsia"/>
        </w:rPr>
      </w:pPr>
      <w:r>
        <w:rPr>
          <w:rFonts w:hint="eastAsia"/>
        </w:rPr>
        <w:t>3.做强研发创新，扎牢知识产权藩篱</w:t>
      </w:r>
    </w:p>
    <w:p>
      <w:pPr>
        <w:pStyle w:val="15"/>
        <w:ind w:firstLine="633"/>
        <w:rPr>
          <w:rFonts w:hint="eastAsia"/>
        </w:rPr>
      </w:pPr>
      <w:r>
        <w:rPr>
          <w:rFonts w:hint="eastAsia"/>
          <w:b/>
          <w:bCs/>
        </w:rPr>
        <w:t>发挥全国县级市首家“专利保护重点联系基地”、江苏省知识产权试点开发区等政策引导作用，</w:t>
      </w:r>
      <w:r>
        <w:rPr>
          <w:rFonts w:hint="eastAsia"/>
        </w:rPr>
        <w:t>鼓励高新区带头加强研发创新，争取更多企业获批国家知识产权示范企业，不断提升万人发明专利拥有量占比、PCT总量，扩充知识产权总量。</w:t>
      </w:r>
      <w:r>
        <w:rPr>
          <w:rFonts w:hint="eastAsia"/>
          <w:b/>
          <w:bCs/>
        </w:rPr>
        <w:t>制定《江苏省太仓高新区关于强化知识产权保护的实施细则》，</w:t>
      </w:r>
      <w:r>
        <w:rPr>
          <w:rFonts w:hint="eastAsia"/>
        </w:rPr>
        <w:t>完善协作保护机制，设立知识产权维权援助机构，强化知识产权保护，切实提升保护实效，持续优化保护环境。</w:t>
      </w:r>
      <w:bookmarkStart w:id="93" w:name="_Toc29524_WPSOffice_Level3"/>
    </w:p>
    <w:p>
      <w:pPr>
        <w:pStyle w:val="7"/>
        <w:ind w:firstLine="630"/>
        <w:rPr>
          <w:rFonts w:ascii="Times New Roman" w:hAnsi="Times New Roman"/>
        </w:rPr>
      </w:pPr>
      <w:bookmarkStart w:id="94" w:name="_Toc89090215"/>
      <w:r>
        <w:rPr>
          <w:rFonts w:ascii="Times New Roman" w:hAnsi="Times New Roman"/>
        </w:rPr>
        <w:t>（三）健全产业孵化链条</w:t>
      </w:r>
      <w:bookmarkEnd w:id="93"/>
      <w:bookmarkEnd w:id="94"/>
    </w:p>
    <w:p>
      <w:pPr>
        <w:pStyle w:val="15"/>
        <w:rPr>
          <w:rFonts w:hint="eastAsia"/>
          <w:b/>
          <w:bCs/>
        </w:rPr>
      </w:pPr>
      <w:r>
        <w:rPr>
          <w:rFonts w:hint="eastAsia"/>
        </w:rPr>
        <w:t>1.构建专业化孵化链条</w:t>
      </w:r>
    </w:p>
    <w:p>
      <w:pPr>
        <w:pStyle w:val="15"/>
        <w:ind w:firstLine="633"/>
        <w:rPr>
          <w:rFonts w:hint="eastAsia"/>
        </w:rPr>
      </w:pPr>
      <w:r>
        <w:rPr>
          <w:rFonts w:hint="eastAsia"/>
          <w:b/>
          <w:bCs/>
        </w:rPr>
        <w:t>围绕区域产业链构造“预先孵化—专业孵化—加速孵化—产业孵化”四级专业孵化链条，</w:t>
      </w:r>
      <w:r>
        <w:rPr>
          <w:rFonts w:hint="eastAsia"/>
        </w:rPr>
        <w:t>针对不同类型的企业和不同发展程度的企业进行精准培育，推动“苗圃—孵化—加速—产业化”孵化机制的相互衔接，聚力培育科技型中小企业，促进科技成果内部转化，助推企业森林发展壮大。</w:t>
      </w:r>
      <w:r>
        <w:rPr>
          <w:rFonts w:hint="eastAsia"/>
          <w:b/>
          <w:bCs/>
        </w:rPr>
        <w:t>以创建国家级科技企业孵化器为导向，</w:t>
      </w:r>
      <w:r>
        <w:rPr>
          <w:rFonts w:hint="eastAsia"/>
        </w:rPr>
        <w:t>鼓励太仓港科创园、太仓生物港、太仓软件园、太仓生物医药产业园、中德MOBO科技企业孵化器、中科西卡思新材料产业孵化器、慧创未来孵化器等创新载体，加强服务能力建设、加强从业人员培训、主动融入全球创新创业网络，积极申报国家级科技企业孵化器并予以财政和政策支持。</w:t>
      </w:r>
    </w:p>
    <w:p>
      <w:pPr>
        <w:pStyle w:val="15"/>
        <w:rPr>
          <w:rFonts w:hint="eastAsia"/>
        </w:rPr>
      </w:pPr>
      <w:r>
        <w:rPr>
          <w:rFonts w:hint="eastAsia"/>
        </w:rPr>
        <w:t>2.构建市场化孵化机制</w:t>
      </w:r>
    </w:p>
    <w:p>
      <w:pPr>
        <w:pStyle w:val="15"/>
        <w:ind w:firstLine="633"/>
        <w:rPr>
          <w:rFonts w:hint="eastAsia"/>
        </w:rPr>
      </w:pPr>
      <w:r>
        <w:rPr>
          <w:rFonts w:hint="eastAsia"/>
          <w:b/>
          <w:bCs/>
        </w:rPr>
        <w:t>鼓励以企业为主体，通过多样化的投资模式、职业化的管理队伍、高效化的孵化服务，建构市场化孵化机制。</w:t>
      </w:r>
      <w:r>
        <w:rPr>
          <w:rFonts w:hint="eastAsia"/>
        </w:rPr>
        <w:t>支持区镇围绕重点发展的高新技术产业，依托各自区位优势和产业基础高起点新建市场化的科技企业孵化器。支持区域高校和科研院所，结合主导新兴产业，选择产业细分领域建设专业科技企业孵化器及众创空间，增强大院大所孵育中小微科技企业的能力，并在市级层面加强相互竞争，形成“</w:t>
      </w:r>
      <w:r>
        <w:rPr>
          <w:rFonts w:hint="eastAsia"/>
          <w:color w:val="333333"/>
          <w:shd w:val="clear" w:color="auto" w:fill="FFFFFF"/>
        </w:rPr>
        <w:t>鲶</w:t>
      </w:r>
      <w:r>
        <w:rPr>
          <w:rFonts w:hint="eastAsia"/>
        </w:rPr>
        <w:t>鱼效应”。支持产业龙头企业平台化发展，鼓励其面向新兴产业建设综合孵化器和专业化的众创空间，给予厂房“退低进高”等配套扶持。</w:t>
      </w:r>
    </w:p>
    <w:p>
      <w:pPr>
        <w:pStyle w:val="15"/>
        <w:rPr>
          <w:rFonts w:hint="eastAsia"/>
        </w:rPr>
      </w:pPr>
      <w:r>
        <w:rPr>
          <w:rFonts w:hint="eastAsia"/>
        </w:rPr>
        <w:t>3.构建循环式孵化闭环</w:t>
      </w:r>
    </w:p>
    <w:p>
      <w:pPr>
        <w:pStyle w:val="15"/>
        <w:ind w:firstLine="633"/>
        <w:rPr>
          <w:rFonts w:hint="eastAsia"/>
        </w:rPr>
      </w:pPr>
      <w:r>
        <w:rPr>
          <w:rFonts w:hint="eastAsia"/>
          <w:b/>
          <w:bCs/>
        </w:rPr>
        <w:t>塑造区域“大综合+专业化”的企业孵化生态系统，</w:t>
      </w:r>
      <w:r>
        <w:rPr>
          <w:rFonts w:hint="eastAsia"/>
        </w:rPr>
        <w:t>集成各方资源组建太仓市级综合孵化器，并作为太仓孵化器联盟的主体单位，统筹全市孵化器管理与专业化运行。依托太仓高新区、港区和各乡镇原有产业和孵化器资源，布局一批专业孵化器，在承接综合孵化器分流孵化的同时开展子区域企业孵化。由此形成太仓科技企业孵化公共能量场，将裂变式、借力式的孵化蝶变为内部聚变式、内生式的孵化，创设孵化闭环的孵育环境，促进各类科技企业快速成长。</w:t>
      </w:r>
    </w:p>
    <w:p>
      <w:pPr>
        <w:widowControl/>
        <w:spacing w:line="560" w:lineRule="exact"/>
        <w:ind w:firstLine="640" w:firstLineChars="200"/>
        <w:rPr>
          <w:rFonts w:hint="eastAsia" w:ascii="Times New Roman" w:eastAsia="仿宋_GB2312"/>
          <w:szCs w:val="32"/>
        </w:rPr>
      </w:pPr>
    </w:p>
    <w:p>
      <w:pPr>
        <w:widowControl/>
        <w:spacing w:line="560" w:lineRule="exact"/>
        <w:ind w:firstLine="0"/>
        <w:rPr>
          <w:rFonts w:ascii="Times New Roman" w:eastAsia="仿宋_GB2312"/>
          <w:szCs w:val="32"/>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0" w:type="dxa"/>
            <w:noWrap w:val="0"/>
            <w:vAlign w:val="top"/>
          </w:tcPr>
          <w:p>
            <w:pPr>
              <w:spacing w:line="590" w:lineRule="exact"/>
              <w:ind w:firstLine="0"/>
              <w:jc w:val="center"/>
              <w:rPr>
                <w:rFonts w:ascii="Times New Roman" w:eastAsia="仿宋_GB2312"/>
                <w:b/>
                <w:sz w:val="28"/>
                <w:szCs w:val="28"/>
              </w:rPr>
            </w:pPr>
            <w:r>
              <w:rPr>
                <w:rFonts w:ascii="Times New Roman" w:eastAsia="黑体"/>
                <w:bCs/>
                <w:sz w:val="28"/>
                <w:szCs w:val="28"/>
              </w:rPr>
              <w:t>重大工程四 科创载体循环孵化工程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820" w:type="dxa"/>
            <w:noWrap w:val="0"/>
            <w:vAlign w:val="top"/>
          </w:tcPr>
          <w:p>
            <w:pPr>
              <w:spacing w:line="580" w:lineRule="exact"/>
              <w:ind w:firstLine="560" w:firstLineChars="200"/>
              <w:rPr>
                <w:rFonts w:ascii="Times New Roman" w:eastAsia="宋体"/>
                <w:sz w:val="28"/>
                <w:szCs w:val="28"/>
              </w:rPr>
            </w:pPr>
            <w:r>
              <w:rPr>
                <w:rFonts w:ascii="Times New Roman" w:eastAsia="宋体"/>
                <w:sz w:val="28"/>
                <w:szCs w:val="28"/>
              </w:rPr>
              <w:t>构建市场化的高效孵化机制，运用</w:t>
            </w:r>
            <w:r>
              <w:rPr>
                <w:rFonts w:ascii="宋体" w:hAnsi="宋体" w:eastAsia="宋体"/>
                <w:sz w:val="28"/>
                <w:szCs w:val="28"/>
              </w:rPr>
              <w:t>“预先孵化—专业孵化—加速孵化—产业孵化”四级孵</w:t>
            </w:r>
            <w:r>
              <w:rPr>
                <w:rFonts w:ascii="Times New Roman" w:eastAsia="宋体"/>
                <w:sz w:val="28"/>
                <w:szCs w:val="28"/>
              </w:rPr>
              <w:t>化</w:t>
            </w:r>
            <w:r>
              <w:rPr>
                <w:rFonts w:hint="eastAsia" w:ascii="Times New Roman" w:eastAsia="宋体"/>
                <w:sz w:val="28"/>
                <w:szCs w:val="28"/>
              </w:rPr>
              <w:t>模式</w:t>
            </w:r>
            <w:r>
              <w:rPr>
                <w:rFonts w:ascii="Times New Roman" w:eastAsia="宋体"/>
                <w:sz w:val="28"/>
                <w:szCs w:val="28"/>
              </w:rPr>
              <w:t>，形成孵化器—企业—孵化器—企业的孵化</w:t>
            </w:r>
            <w:r>
              <w:rPr>
                <w:rFonts w:hint="eastAsia" w:ascii="Times New Roman" w:eastAsia="宋体"/>
                <w:sz w:val="28"/>
                <w:szCs w:val="28"/>
              </w:rPr>
              <w:t>循环</w:t>
            </w:r>
            <w:r>
              <w:rPr>
                <w:rFonts w:ascii="Times New Roman" w:eastAsia="宋体"/>
                <w:sz w:val="28"/>
                <w:szCs w:val="28"/>
              </w:rPr>
              <w:t>。</w:t>
            </w:r>
            <w:r>
              <w:rPr>
                <w:rFonts w:ascii="Times New Roman" w:eastAsia="宋体"/>
                <w:b/>
                <w:bCs/>
                <w:sz w:val="28"/>
                <w:szCs w:val="28"/>
              </w:rPr>
              <w:t>整合</w:t>
            </w:r>
            <w:r>
              <w:rPr>
                <w:rFonts w:hint="eastAsia" w:ascii="Times New Roman" w:eastAsia="宋体"/>
                <w:b/>
                <w:bCs/>
                <w:sz w:val="28"/>
                <w:szCs w:val="28"/>
              </w:rPr>
              <w:t>现有孵化资源，</w:t>
            </w:r>
            <w:r>
              <w:rPr>
                <w:rFonts w:hint="eastAsia" w:ascii="Times New Roman" w:eastAsia="宋体"/>
                <w:sz w:val="28"/>
                <w:szCs w:val="28"/>
              </w:rPr>
              <w:t>将</w:t>
            </w:r>
            <w:r>
              <w:rPr>
                <w:rFonts w:ascii="Times New Roman" w:eastAsia="宋体"/>
                <w:sz w:val="28"/>
                <w:szCs w:val="28"/>
              </w:rPr>
              <w:t>太仓</w:t>
            </w:r>
            <w:r>
              <w:rPr>
                <w:rFonts w:hint="eastAsia" w:ascii="Times New Roman" w:eastAsia="宋体"/>
                <w:sz w:val="28"/>
                <w:szCs w:val="28"/>
              </w:rPr>
              <w:t>已建</w:t>
            </w:r>
            <w:r>
              <w:rPr>
                <w:rFonts w:ascii="Times New Roman" w:eastAsia="宋体"/>
                <w:sz w:val="28"/>
                <w:szCs w:val="28"/>
              </w:rPr>
              <w:t>众创空间、新型研发机构、孵化器、加速器等孵化资源</w:t>
            </w:r>
            <w:r>
              <w:rPr>
                <w:rFonts w:hint="eastAsia" w:ascii="Times New Roman" w:eastAsia="宋体"/>
                <w:sz w:val="28"/>
                <w:szCs w:val="28"/>
              </w:rPr>
              <w:t>进行合理整合</w:t>
            </w:r>
            <w:r>
              <w:rPr>
                <w:rFonts w:ascii="Times New Roman" w:eastAsia="宋体"/>
                <w:sz w:val="28"/>
                <w:szCs w:val="28"/>
              </w:rPr>
              <w:t>，打造太仓孵化联盟，吸引产业发展所需要的技术、人才、资本、信息、服务等资源要素的不断聚集，按照企业生长周期进行分阶段、差异性孵化</w:t>
            </w:r>
            <w:r>
              <w:rPr>
                <w:rFonts w:hint="eastAsia" w:ascii="Times New Roman" w:eastAsia="宋体"/>
                <w:sz w:val="28"/>
                <w:szCs w:val="28"/>
              </w:rPr>
              <w:t>，提升孵化成效，新认定市级以上众创空间、孵化器40家以上</w:t>
            </w:r>
            <w:r>
              <w:rPr>
                <w:rFonts w:ascii="Times New Roman" w:eastAsia="宋体"/>
                <w:sz w:val="28"/>
                <w:szCs w:val="28"/>
              </w:rPr>
              <w:t>。</w:t>
            </w:r>
            <w:r>
              <w:rPr>
                <w:rFonts w:hint="eastAsia" w:ascii="Times New Roman" w:eastAsia="宋体"/>
                <w:b/>
                <w:bCs/>
                <w:sz w:val="28"/>
                <w:szCs w:val="28"/>
              </w:rPr>
              <w:t>布局打造未来孵化空间，</w:t>
            </w:r>
            <w:r>
              <w:rPr>
                <w:rFonts w:ascii="Times New Roman" w:eastAsia="宋体"/>
                <w:sz w:val="28"/>
                <w:szCs w:val="28"/>
              </w:rPr>
              <w:t>引导区域龙头领军企业</w:t>
            </w:r>
            <w:r>
              <w:rPr>
                <w:rFonts w:hint="eastAsia" w:ascii="Times New Roman" w:eastAsia="宋体"/>
                <w:sz w:val="28"/>
                <w:szCs w:val="28"/>
              </w:rPr>
              <w:t>、</w:t>
            </w:r>
            <w:r>
              <w:rPr>
                <w:rFonts w:ascii="Times New Roman" w:eastAsia="宋体"/>
                <w:sz w:val="28"/>
                <w:szCs w:val="28"/>
              </w:rPr>
              <w:t>高新技术企业</w:t>
            </w:r>
            <w:r>
              <w:rPr>
                <w:rFonts w:hint="eastAsia" w:ascii="Times New Roman" w:eastAsia="宋体"/>
                <w:sz w:val="28"/>
                <w:szCs w:val="28"/>
              </w:rPr>
              <w:t>和大院大所</w:t>
            </w:r>
            <w:r>
              <w:rPr>
                <w:rFonts w:ascii="Times New Roman" w:eastAsia="宋体"/>
                <w:sz w:val="28"/>
                <w:szCs w:val="28"/>
              </w:rPr>
              <w:t>，利用孵化联盟资源，通过平台化发展设立新的专业</w:t>
            </w:r>
            <w:r>
              <w:rPr>
                <w:rFonts w:hint="eastAsia" w:ascii="Times New Roman" w:eastAsia="宋体"/>
                <w:sz w:val="28"/>
                <w:szCs w:val="28"/>
              </w:rPr>
              <w:t>化众创空间、</w:t>
            </w:r>
            <w:r>
              <w:rPr>
                <w:rFonts w:ascii="Times New Roman" w:eastAsia="宋体"/>
                <w:sz w:val="28"/>
                <w:szCs w:val="28"/>
              </w:rPr>
              <w:t>孵化器、加速器</w:t>
            </w:r>
            <w:r>
              <w:rPr>
                <w:rFonts w:hint="eastAsia" w:ascii="Times New Roman" w:eastAsia="宋体"/>
                <w:sz w:val="28"/>
                <w:szCs w:val="28"/>
              </w:rPr>
              <w:t>、孵化链条</w:t>
            </w:r>
            <w:r>
              <w:rPr>
                <w:rFonts w:ascii="Times New Roman" w:eastAsia="宋体"/>
                <w:sz w:val="28"/>
                <w:szCs w:val="28"/>
              </w:rPr>
              <w:t>，持续</w:t>
            </w:r>
            <w:r>
              <w:rPr>
                <w:rFonts w:hint="eastAsia" w:ascii="Times New Roman" w:eastAsia="宋体"/>
                <w:sz w:val="28"/>
                <w:szCs w:val="28"/>
              </w:rPr>
              <w:t>补充扩展</w:t>
            </w:r>
            <w:r>
              <w:rPr>
                <w:rFonts w:ascii="Times New Roman" w:eastAsia="宋体"/>
                <w:sz w:val="28"/>
                <w:szCs w:val="28"/>
              </w:rPr>
              <w:t>产业</w:t>
            </w:r>
            <w:r>
              <w:rPr>
                <w:rFonts w:hint="eastAsia" w:ascii="Times New Roman" w:eastAsia="宋体"/>
                <w:sz w:val="28"/>
                <w:szCs w:val="28"/>
              </w:rPr>
              <w:t>链，新投用孵化面积100万平方米以上。</w:t>
            </w:r>
          </w:p>
        </w:tc>
      </w:tr>
    </w:tbl>
    <w:p>
      <w:pPr>
        <w:pStyle w:val="14"/>
        <w:rPr>
          <w:rFonts w:ascii="Times New Roman"/>
        </w:rPr>
      </w:pPr>
      <w:r>
        <w:rPr>
          <w:rFonts w:ascii="Times New Roman"/>
          <w:sz w:val="34"/>
          <w:szCs w:val="34"/>
        </w:rPr>
        <w:br w:type="page"/>
      </w:r>
      <w:bookmarkStart w:id="95" w:name="_Toc28501"/>
      <w:bookmarkStart w:id="96" w:name="_Toc89090216"/>
      <w:bookmarkStart w:id="97" w:name="_Toc9255_WPSOffice_Level1"/>
      <w:bookmarkStart w:id="98" w:name="_Toc17137_WPSOffice_Level1"/>
      <w:r>
        <w:rPr>
          <w:rFonts w:ascii="Times New Roman"/>
          <w:spacing w:val="1"/>
          <w:w w:val="96"/>
          <w:kern w:val="0"/>
          <w:fitText w:val="9135" w:id="1157988116"/>
        </w:rPr>
        <w:t>第五章</w:t>
      </w:r>
      <w:r>
        <w:rPr>
          <w:rFonts w:hint="eastAsia" w:ascii="Times New Roman"/>
          <w:spacing w:val="1"/>
          <w:w w:val="96"/>
          <w:kern w:val="0"/>
          <w:fitText w:val="9135" w:id="1157988116"/>
        </w:rPr>
        <w:t xml:space="preserve"> 实施“四大”计划，打造科技创新新体</w:t>
      </w:r>
      <w:r>
        <w:rPr>
          <w:rFonts w:hint="eastAsia" w:ascii="Times New Roman"/>
          <w:spacing w:val="33"/>
          <w:w w:val="96"/>
          <w:kern w:val="0"/>
          <w:fitText w:val="9135" w:id="1157988116"/>
        </w:rPr>
        <w:t>系</w:t>
      </w:r>
      <w:bookmarkEnd w:id="95"/>
      <w:bookmarkEnd w:id="96"/>
      <w:bookmarkEnd w:id="97"/>
      <w:bookmarkEnd w:id="98"/>
    </w:p>
    <w:p>
      <w:pPr>
        <w:spacing w:line="560" w:lineRule="exact"/>
        <w:ind w:firstLine="680" w:firstLineChars="200"/>
        <w:jc w:val="center"/>
        <w:rPr>
          <w:rFonts w:ascii="Times New Roman" w:eastAsia="方正黑体_GBK"/>
          <w:sz w:val="34"/>
          <w:szCs w:val="34"/>
        </w:rPr>
      </w:pPr>
    </w:p>
    <w:p>
      <w:pPr>
        <w:pStyle w:val="15"/>
      </w:pPr>
      <w:r>
        <w:t>深入贯彻新发展理念，围绕太仓以港强市、融入上海、对德合作三篇文章，放大国际国内双循环产业发展格局，发挥优势资源，探索产业创新发展路径。面向高端装备制造、生物医药、新材料等重点产业领域，通过基础研究加强</w:t>
      </w:r>
      <w:r>
        <w:rPr>
          <w:rFonts w:hint="eastAsia"/>
        </w:rPr>
        <w:t>应用</w:t>
      </w:r>
      <w:r>
        <w:t>计划、主导产业</w:t>
      </w:r>
      <w:r>
        <w:rPr>
          <w:rFonts w:hint="eastAsia"/>
        </w:rPr>
        <w:t>扩增提质</w:t>
      </w:r>
      <w:r>
        <w:t>计划、</w:t>
      </w:r>
      <w:r>
        <w:rPr>
          <w:rFonts w:hint="eastAsia"/>
        </w:rPr>
        <w:t>先导</w:t>
      </w:r>
      <w:r>
        <w:t>产业加速</w:t>
      </w:r>
      <w:r>
        <w:rPr>
          <w:rFonts w:hint="eastAsia"/>
        </w:rPr>
        <w:t>裂变</w:t>
      </w:r>
      <w:r>
        <w:t>计划</w:t>
      </w:r>
      <w:r>
        <w:rPr>
          <w:rFonts w:hint="eastAsia"/>
        </w:rPr>
        <w:t>及</w:t>
      </w:r>
      <w:r>
        <w:t>农业科技振兴</w:t>
      </w:r>
      <w:r>
        <w:rPr>
          <w:rFonts w:hint="eastAsia"/>
        </w:rPr>
        <w:t>发展</w:t>
      </w:r>
      <w:r>
        <w:t>计划，进一步</w:t>
      </w:r>
      <w:r>
        <w:rPr>
          <w:rFonts w:hint="eastAsia"/>
        </w:rPr>
        <w:t>推动</w:t>
      </w:r>
      <w:r>
        <w:t>太仓产业基础高级化、产业链现代化，构建太仓科技创新</w:t>
      </w:r>
      <w:r>
        <w:rPr>
          <w:rFonts w:hint="eastAsia"/>
        </w:rPr>
        <w:t>新</w:t>
      </w:r>
      <w:r>
        <w:t>体系。</w:t>
      </w:r>
    </w:p>
    <w:p>
      <w:pPr>
        <w:pStyle w:val="17"/>
        <w:ind w:firstLine="630"/>
        <w:rPr>
          <w:rFonts w:ascii="Times New Roman" w:hAnsi="Times New Roman"/>
        </w:rPr>
      </w:pPr>
      <w:bookmarkStart w:id="99" w:name="_Toc89090217"/>
      <w:bookmarkStart w:id="100" w:name="_Toc32630"/>
      <w:bookmarkStart w:id="101" w:name="_Toc16534_WPSOffice_Level2"/>
      <w:r>
        <w:rPr>
          <w:rFonts w:ascii="Times New Roman" w:hAnsi="Times New Roman"/>
        </w:rPr>
        <w:t>一、基础研究加强</w:t>
      </w:r>
      <w:r>
        <w:rPr>
          <w:rFonts w:hint="eastAsia" w:ascii="Times New Roman" w:hAnsi="Times New Roman"/>
        </w:rPr>
        <w:t>应用</w:t>
      </w:r>
      <w:r>
        <w:rPr>
          <w:rFonts w:ascii="Times New Roman" w:hAnsi="Times New Roman"/>
        </w:rPr>
        <w:t>计划</w:t>
      </w:r>
      <w:bookmarkEnd w:id="99"/>
      <w:bookmarkEnd w:id="100"/>
      <w:bookmarkEnd w:id="101"/>
    </w:p>
    <w:p>
      <w:pPr>
        <w:pStyle w:val="15"/>
      </w:pPr>
      <w:r>
        <w:t>以需求为导向，以应用促发展，充分发挥太仓制造业发展动能，集聚高端创新资源，通过区域高水平大学和新研机构建设，加强产业前沿和基础研究，着力</w:t>
      </w:r>
      <w:r>
        <w:rPr>
          <w:rFonts w:hint="eastAsia"/>
        </w:rPr>
        <w:t>实现</w:t>
      </w:r>
      <w:r>
        <w:t>关键核心技术自主可控，切实提高太仓产业链稳定性和竞争力。</w:t>
      </w:r>
    </w:p>
    <w:p>
      <w:pPr>
        <w:pStyle w:val="7"/>
        <w:ind w:firstLine="630"/>
      </w:pPr>
      <w:bookmarkStart w:id="102" w:name="_Toc89090218"/>
      <w:r>
        <w:t>（一）支持大学高水平建设</w:t>
      </w:r>
      <w:bookmarkEnd w:id="102"/>
    </w:p>
    <w:p>
      <w:pPr>
        <w:pStyle w:val="15"/>
        <w:rPr>
          <w:rFonts w:hint="eastAsia"/>
        </w:rPr>
      </w:pPr>
      <w:r>
        <w:rPr>
          <w:rFonts w:hint="eastAsia"/>
        </w:rPr>
        <w:t>瞄准学科前沿和地方重大需求，重点支持西北工业大学太仓校区、西交利物浦大学太仓校区、西北工业大学长三角研究院等“两校多院”高水平建设。进一步放大太仓“双一流”高校效应和资源，完善相关学科整体布局，提高学科水平，加强高层次硕博人才培养，积极筹建国家重点实验室、国家工程技术研究中心、江苏省重点实验室等高层次科研平台，力争在更高、更广的层面上促进学科交叉融合，实现学科发展与平台基地建设、人才培养、科技创新的良性互动，构建教育、科研、产业孵化的融合创新格局，为太仓经济社会高质量发展提供科技支撑和创新动力。</w:t>
      </w:r>
    </w:p>
    <w:p>
      <w:pPr>
        <w:pStyle w:val="7"/>
        <w:ind w:firstLine="630"/>
      </w:pPr>
      <w:bookmarkStart w:id="103" w:name="_Toc89090219"/>
      <w:r>
        <w:t>（二）促进产业基础高级化</w:t>
      </w:r>
      <w:bookmarkEnd w:id="103"/>
    </w:p>
    <w:p>
      <w:pPr>
        <w:pStyle w:val="15"/>
      </w:pPr>
      <w:r>
        <w:t>围绕太仓区域性、行业性重大技术需求，推动江苏先进无机材料研究院、太仓中科信息技术研究院、太仓光电技术研究所等科研院所科技成果转化，重点在机械工程、力学、材料科学、生命科学、药学等领域加强应用技术开发，加强当地产业服务。联合太仓本土科技型企业，积极承担国家、省科技重大专项、重点研发计划，促进产业迭代升级，提高太仓制造业创新能力，加速向产业链、价值链高端攀升。</w:t>
      </w:r>
    </w:p>
    <w:p>
      <w:pPr>
        <w:pStyle w:val="17"/>
        <w:ind w:firstLine="630"/>
        <w:rPr>
          <w:rFonts w:ascii="Times New Roman" w:hAnsi="Times New Roman"/>
        </w:rPr>
      </w:pPr>
      <w:bookmarkStart w:id="104" w:name="_Toc14757"/>
      <w:bookmarkStart w:id="105" w:name="_Toc89090220"/>
      <w:bookmarkStart w:id="106" w:name="_Toc25447_WPSOffice_Level2"/>
      <w:r>
        <w:rPr>
          <w:rFonts w:ascii="Times New Roman" w:hAnsi="Times New Roman"/>
        </w:rPr>
        <w:t>二、主导产业</w:t>
      </w:r>
      <w:r>
        <w:rPr>
          <w:rFonts w:hint="eastAsia" w:ascii="Times New Roman" w:hAnsi="Times New Roman"/>
        </w:rPr>
        <w:t>扩增提质</w:t>
      </w:r>
      <w:r>
        <w:rPr>
          <w:rFonts w:ascii="Times New Roman" w:hAnsi="Times New Roman"/>
        </w:rPr>
        <w:t>计划</w:t>
      </w:r>
      <w:bookmarkEnd w:id="104"/>
      <w:bookmarkEnd w:id="105"/>
      <w:bookmarkEnd w:id="106"/>
    </w:p>
    <w:p>
      <w:pPr>
        <w:pStyle w:val="15"/>
      </w:pPr>
      <w:r>
        <w:t>立足太仓制造业资源禀赋和产业基础，坚守实体经济，加快产业转型升级，通过实施主导产业</w:t>
      </w:r>
      <w:r>
        <w:rPr>
          <w:rFonts w:hint="eastAsia"/>
        </w:rPr>
        <w:t>扩增提质</w:t>
      </w:r>
      <w:r>
        <w:t>计划，厘清发展思路，做优产业链条，提升产业发展能级，推动区域工业经济高质量发展。</w:t>
      </w:r>
    </w:p>
    <w:p>
      <w:pPr>
        <w:pStyle w:val="7"/>
        <w:ind w:firstLine="630"/>
      </w:pPr>
      <w:bookmarkStart w:id="107" w:name="_Toc89090221"/>
      <w:r>
        <w:t>（一）高端装备制造</w:t>
      </w:r>
      <w:bookmarkEnd w:id="107"/>
    </w:p>
    <w:p>
      <w:pPr>
        <w:pStyle w:val="15"/>
        <w:rPr>
          <w:rFonts w:hint="eastAsia"/>
        </w:rPr>
      </w:pPr>
      <w:r>
        <w:rPr>
          <w:rFonts w:hint="eastAsia"/>
        </w:rPr>
        <w:t>1.发展目标</w:t>
      </w:r>
    </w:p>
    <w:p>
      <w:pPr>
        <w:pStyle w:val="15"/>
        <w:rPr>
          <w:rFonts w:hint="eastAsia"/>
        </w:rPr>
      </w:pPr>
      <w:r>
        <w:rPr>
          <w:rFonts w:hint="eastAsia"/>
        </w:rPr>
        <w:t>打造长三角地区富有竞争力的装备制造创新中心和国内一流装备制造产业基地。“十四五”期间，高端装备制造产业产值力争实现年均增长8%。</w:t>
      </w:r>
    </w:p>
    <w:p>
      <w:pPr>
        <w:pStyle w:val="15"/>
        <w:rPr>
          <w:rFonts w:hint="eastAsia"/>
        </w:rPr>
      </w:pPr>
      <w:r>
        <w:rPr>
          <w:rFonts w:hint="eastAsia"/>
        </w:rPr>
        <w:t>2.发展策略</w:t>
      </w:r>
    </w:p>
    <w:p>
      <w:pPr>
        <w:pStyle w:val="15"/>
        <w:ind w:firstLine="633"/>
        <w:rPr>
          <w:rFonts w:hint="eastAsia"/>
        </w:rPr>
      </w:pPr>
      <w:r>
        <w:rPr>
          <w:rFonts w:hint="eastAsia"/>
          <w:b/>
          <w:bCs/>
        </w:rPr>
        <w:t>做优成套设备及关键部件产业。</w:t>
      </w:r>
      <w:r>
        <w:rPr>
          <w:rFonts w:hint="eastAsia"/>
          <w:bCs/>
        </w:rPr>
        <w:t>聚焦现有装备制造业升级，以数字化、智能化、个性化、服务化为主攻方向，加快攻克核心关键技术，推动数控机床及智能制造装备产业向高端、智能、绿色、集聚发展。</w:t>
      </w:r>
      <w:r>
        <w:rPr>
          <w:rFonts w:hint="eastAsia"/>
        </w:rPr>
        <w:t>重点围绕高精密数控机床、海洋工程装备、新能源装备、智能装备、轨道交通装备等领域，着力解决影响产品质量的材料、工艺、部件等关键问题，推广可靠性设计、试验与验证、以及可制造性设计等质量工程技术，提高产品可靠性、安全性等关键质量特性水平。</w:t>
      </w:r>
      <w:r>
        <w:rPr>
          <w:rFonts w:hint="eastAsia"/>
          <w:bCs/>
        </w:rPr>
        <w:t>大力实施标准化战略，加快构建政府主导、市场自主的新型标准体系，推进对标、达标国际</w:t>
      </w:r>
      <w:r>
        <w:rPr>
          <w:rFonts w:hint="eastAsia"/>
        </w:rPr>
        <w:t>先进水平，鼓励引领企业瞄准、超越国际标准，制定实施先进标准，形成一批具有国际影响力的“太仓标准”，打响“太仓制造”品牌。加强自主品牌培育，鼓励企业制定品牌发展战略，开展品牌价值测算，形成具有知识产权的名牌产品，不断提升品牌形象和价值。</w:t>
      </w:r>
    </w:p>
    <w:p>
      <w:pPr>
        <w:pStyle w:val="15"/>
        <w:ind w:firstLine="633"/>
        <w:rPr>
          <w:rFonts w:hint="eastAsia"/>
        </w:rPr>
      </w:pPr>
      <w:r>
        <w:rPr>
          <w:rFonts w:hint="eastAsia"/>
          <w:b/>
          <w:bCs/>
        </w:rPr>
        <w:t>壮大汽车零部件产业。</w:t>
      </w:r>
      <w:r>
        <w:rPr>
          <w:rFonts w:hint="eastAsia"/>
        </w:rPr>
        <w:t>发挥对德优势，引导产业走向国际市场。研究绘制汽车零部件产业链全球资源图谱，重点围绕德国汽车行业发达资源，强化对德合作关键领域产业对接，聚焦动力电池、高效内燃机、轻量化材料、智能控制等细分关键领域，引导舍弗勒、博格华纳等外资骨干企业，搭建线上线下一体化的中德汽车产业需求对接平台，鼓励本土企业与外资企业开展协作配套和产需对接，推动企业融入全球产业链，培养本土世界级的汽车零部件供应商。强固产业链条，服务国内汽车市场。发挥国家火炬苏州太仓高新区汽车关键零部件特色产业基地招牌效应，联合太仓高校、科研院所与行业龙头骨干企业深化产学研合作，着力攻克一批汽车零部件产业核心关键技术，加快科技成果转化，带动企业产品升级和产业链升级。引导汽车消费市场扩大内需，重点发展新能源等节能环保配件、汽车电子及改装、汽车售后市场等消费领域，形成国内汽车配件市场集散地，不断提升太仓汽车零部件产业市场影响力。</w:t>
      </w:r>
    </w:p>
    <w:p>
      <w:pPr>
        <w:pStyle w:val="7"/>
        <w:ind w:firstLine="630"/>
      </w:pPr>
      <w:bookmarkStart w:id="108" w:name="_Toc89090222"/>
      <w:r>
        <w:t>（二）新材料</w:t>
      </w:r>
      <w:bookmarkEnd w:id="108"/>
    </w:p>
    <w:p>
      <w:pPr>
        <w:pStyle w:val="15"/>
        <w:rPr>
          <w:rFonts w:hint="eastAsia"/>
        </w:rPr>
      </w:pPr>
      <w:r>
        <w:rPr>
          <w:rFonts w:hint="eastAsia"/>
        </w:rPr>
        <w:t>1.发展目标</w:t>
      </w:r>
    </w:p>
    <w:p>
      <w:pPr>
        <w:pStyle w:val="15"/>
        <w:rPr>
          <w:rFonts w:hint="eastAsia"/>
        </w:rPr>
      </w:pPr>
      <w:r>
        <w:rPr>
          <w:rFonts w:hint="eastAsia"/>
        </w:rPr>
        <w:t>打造苏州市域新材料产业高地。“十四五”期间，新材料产业产值力争实现年均增长8%。</w:t>
      </w:r>
    </w:p>
    <w:p>
      <w:pPr>
        <w:pStyle w:val="15"/>
        <w:rPr>
          <w:rFonts w:hint="eastAsia"/>
        </w:rPr>
      </w:pPr>
      <w:r>
        <w:rPr>
          <w:rFonts w:hint="eastAsia"/>
        </w:rPr>
        <w:t>2.发展策略</w:t>
      </w:r>
    </w:p>
    <w:p>
      <w:pPr>
        <w:pStyle w:val="15"/>
        <w:ind w:firstLine="633"/>
        <w:rPr>
          <w:rFonts w:hint="eastAsia"/>
        </w:rPr>
      </w:pPr>
      <w:r>
        <w:rPr>
          <w:rFonts w:hint="eastAsia"/>
          <w:b/>
          <w:bCs/>
        </w:rPr>
        <w:t>集聚发展一批应用新材料。</w:t>
      </w:r>
      <w:r>
        <w:rPr>
          <w:rFonts w:hint="eastAsia"/>
        </w:rPr>
        <w:t>立足太仓新材料产业基础，围绕江苏省工程机械、高端装备、汽车及零部件等13个先进制造业集群，重点对接姑苏实验室、长三角先进材料创新中心等高端创新资源，承接科技成果转化，集聚发展一批应用新材料。组织重点材料生产企业和龙头应用单位联合攻关，建立面向重大需求的新材料开发应用模式，鼓励上下游企业联合实施重点项目，按照产学研用协同促进方式，加快新材料创新成果转化。鼓励冠联、和承、富勒姆、科纺勒等当地龙头企业，围绕特种橡胶、功能性涂层材料、高性能纤维等领域，加强与德国等全球产业高地的产业对接，链接区域高校院所创新资源，积极探索新技术、新工艺，助推核心企业进一步壮大，加强特种纤维材料、功能性高分子材料等在主导产业领域应用。</w:t>
      </w:r>
    </w:p>
    <w:p>
      <w:pPr>
        <w:pStyle w:val="15"/>
        <w:ind w:firstLine="633"/>
        <w:rPr>
          <w:rFonts w:hint="eastAsia"/>
        </w:rPr>
      </w:pPr>
      <w:r>
        <w:rPr>
          <w:rFonts w:hint="eastAsia"/>
          <w:b/>
          <w:bCs/>
        </w:rPr>
        <w:t>整合布局一批前沿新材料。</w:t>
      </w:r>
      <w:r>
        <w:rPr>
          <w:rFonts w:hint="eastAsia"/>
        </w:rPr>
        <w:t>把握新材料技术与信息技术、纳米技术、智能技术等融合发展趋势，更加重视原始创新和颠覆性技术创新。围绕航空航天、生物医药等重点领域前沿材料发展方向，发挥太仓国家特种功能材料高新技术产业化基地优势，加强前瞻性基础研究与应用创新，制定重点材料品种发展指南，集中力量开展系统攻关，形成一批标志性前沿新材料创新成果与典型应用，抢占未来新材料产业竞争制高点。做好前沿新材料领域知识产权布局，围绕重点领域开展应用示范，逐步扩大前沿新材料的应用范围。重点发展应用于航空航天、轨道交通等领域的高强、高模碳纤维系列产品，大力发展高性能结构陶瓷、功能陶瓷、透明陶瓷、陶瓷复合基材料、人工晶体等</w:t>
      </w:r>
      <w:r>
        <w:rPr>
          <w:rFonts w:hint="eastAsia"/>
          <w:bCs/>
        </w:rPr>
        <w:t>无机非金属材料，</w:t>
      </w:r>
      <w:r>
        <w:rPr>
          <w:rFonts w:hint="eastAsia"/>
        </w:rPr>
        <w:t>积极培育医用聚氨酯薄膜、医用PU胶带等医用新材料产品。</w:t>
      </w:r>
    </w:p>
    <w:p>
      <w:pPr>
        <w:pStyle w:val="17"/>
        <w:ind w:firstLine="630"/>
        <w:rPr>
          <w:rFonts w:ascii="Times New Roman" w:hAnsi="Times New Roman"/>
        </w:rPr>
      </w:pPr>
      <w:bookmarkStart w:id="109" w:name="_Toc89090223"/>
      <w:r>
        <w:rPr>
          <w:rFonts w:ascii="Times New Roman" w:hAnsi="Times New Roman"/>
        </w:rPr>
        <w:t>三、先导产业加速</w:t>
      </w:r>
      <w:r>
        <w:rPr>
          <w:rFonts w:hint="eastAsia" w:ascii="Times New Roman" w:hAnsi="Times New Roman"/>
        </w:rPr>
        <w:t>裂变</w:t>
      </w:r>
      <w:r>
        <w:rPr>
          <w:rFonts w:ascii="Times New Roman" w:hAnsi="Times New Roman"/>
        </w:rPr>
        <w:t>计划</w:t>
      </w:r>
      <w:bookmarkEnd w:id="109"/>
    </w:p>
    <w:p>
      <w:pPr>
        <w:pStyle w:val="15"/>
      </w:pPr>
      <w:r>
        <w:t>围绕太仓现代产业体系建设和推动创新型经济发展目标，敏锐把握科技革命和产业变革带来的新机遇，加速布局生物医药、航空航天两大先导产业，激发新业态新模式创新活力，加快培育产业新动能，形成太仓发展新的经济增长点。</w:t>
      </w:r>
    </w:p>
    <w:p>
      <w:pPr>
        <w:pStyle w:val="7"/>
        <w:ind w:firstLine="630"/>
      </w:pPr>
      <w:bookmarkStart w:id="110" w:name="_Toc89090224"/>
      <w:r>
        <w:t>（一）生物医药</w:t>
      </w:r>
      <w:bookmarkEnd w:id="110"/>
    </w:p>
    <w:p>
      <w:pPr>
        <w:pStyle w:val="15"/>
        <w:rPr>
          <w:rFonts w:hint="eastAsia"/>
        </w:rPr>
      </w:pPr>
      <w:r>
        <w:rPr>
          <w:rFonts w:hint="eastAsia"/>
        </w:rPr>
        <w:t>1.发展目标</w:t>
      </w:r>
    </w:p>
    <w:p>
      <w:pPr>
        <w:pStyle w:val="15"/>
        <w:rPr>
          <w:rFonts w:hint="eastAsia"/>
        </w:rPr>
      </w:pPr>
      <w:r>
        <w:rPr>
          <w:rFonts w:hint="eastAsia"/>
        </w:rPr>
        <w:t>深耕太仓生物医药服务外包、医疗器械及新药研发三大重点领域，打造苏州生物医药产业东部支点。到2025年，全市生物医药产业实现产值500亿元。</w:t>
      </w:r>
    </w:p>
    <w:p>
      <w:pPr>
        <w:pStyle w:val="15"/>
        <w:rPr>
          <w:rFonts w:hint="eastAsia"/>
        </w:rPr>
      </w:pPr>
      <w:r>
        <w:rPr>
          <w:rFonts w:hint="eastAsia"/>
        </w:rPr>
        <w:t>2.发展策略</w:t>
      </w:r>
    </w:p>
    <w:p>
      <w:pPr>
        <w:pStyle w:val="15"/>
        <w:ind w:firstLine="633"/>
        <w:rPr>
          <w:rFonts w:hint="eastAsia"/>
        </w:rPr>
      </w:pPr>
      <w:r>
        <w:rPr>
          <w:rFonts w:hint="eastAsia"/>
          <w:b/>
          <w:bCs/>
        </w:rPr>
        <w:t>壮大特色优势产业领域。</w:t>
      </w:r>
      <w:r>
        <w:rPr>
          <w:rFonts w:hint="eastAsia"/>
        </w:rPr>
        <w:t>积极用好苏州市生物医药“一号产业”政策环境，加快太仓生物医药产业园、生物港和中德（太仓）生命健康产业园等建设提升，新建一批适合前沿生物医药和高性能医疗器械项目的孵化载体，链接国内外高端创业人才、技术团队，集聚一批具备国际技术水准的生物医药企业。加快体外诊断类医疗器械产品开发和应用，引领科技创新成果向高端产品转移，形成具有市场竞争力的自主品牌。重点发展现场快速检验、新型分子诊断、医用多模态流式细胞仪、新型医用质谱仪、全自动微生物分析、快速病理诊断、高性能医学影像等高端医疗器械领域。积极发展药械结合、医疗机器人、新型中医诊疗等产品和系统，以及数字医疗、远程医疗、移动医疗等新型特色产品产业化应用。</w:t>
      </w:r>
      <w:r>
        <w:rPr>
          <w:rFonts w:hint="eastAsia"/>
          <w:bCs/>
        </w:rPr>
        <w:t>鼓励医工结合协同创新</w:t>
      </w:r>
      <w:r>
        <w:rPr>
          <w:rFonts w:hint="eastAsia"/>
        </w:rPr>
        <w:t>，加大对本地临床试验等医工结合协同创新项目的支持力度，打造生物医药创新发展高地。</w:t>
      </w:r>
    </w:p>
    <w:p>
      <w:pPr>
        <w:pStyle w:val="15"/>
        <w:ind w:firstLine="633"/>
        <w:rPr>
          <w:rFonts w:hint="eastAsia"/>
          <w:b/>
          <w:bCs/>
        </w:rPr>
      </w:pPr>
      <w:r>
        <w:rPr>
          <w:rFonts w:hint="eastAsia"/>
          <w:b/>
          <w:bCs/>
        </w:rPr>
        <w:t>探索产业链生态建设。</w:t>
      </w:r>
      <w:r>
        <w:rPr>
          <w:rFonts w:hint="eastAsia"/>
        </w:rPr>
        <w:t>紧抓医药产业“仿制药一致性评价”发展机遇，大力发展CRO、CMO、CDMO等医药研发服务，促进创新药物、医疗器械研究成果快速落地产业化。依托昭衍生物、赛业、中美冠科等龙头骨干企业，重点提升动物模型培养、药物筛选、抗体定制等临床试验水平，推进化合物发现、药物临床前试验等服务，开拓中试生产等业务。建设大分子药物公共服务平台、动物实验分析测试平台、生物大数据平台等。布局与生物医药相关的原料药项目，积极探索产业链生态建设。借助长三角区域相关城市的临床资源、创新平台等要素，实现对医药研发链和产业链共性关键环节的全覆盖，满足企业国内外注册、药品一致性评价、创新药物研发及验证等需要，形成全国一流的医药研发服务平台，促进生物医药创新型产业集群建设，推动全市生物医药产业高质量发展。</w:t>
      </w:r>
    </w:p>
    <w:p>
      <w:pPr>
        <w:pStyle w:val="7"/>
        <w:ind w:firstLine="630"/>
      </w:pPr>
      <w:bookmarkStart w:id="111" w:name="_Toc89090225"/>
      <w:r>
        <w:t>（二）航空航天</w:t>
      </w:r>
      <w:bookmarkEnd w:id="111"/>
    </w:p>
    <w:p>
      <w:pPr>
        <w:pStyle w:val="15"/>
        <w:rPr>
          <w:rFonts w:hint="eastAsia"/>
        </w:rPr>
      </w:pPr>
      <w:r>
        <w:rPr>
          <w:rFonts w:hint="eastAsia"/>
        </w:rPr>
        <w:t>1.发展目标</w:t>
      </w:r>
    </w:p>
    <w:p>
      <w:pPr>
        <w:pStyle w:val="15"/>
        <w:rPr>
          <w:rFonts w:hint="eastAsia"/>
        </w:rPr>
      </w:pPr>
      <w:r>
        <w:rPr>
          <w:rFonts w:hint="eastAsia"/>
        </w:rPr>
        <w:t>全力打造“做航空、到太仓”的产业名片。积极融入国内外飞机供应链体系，建设高水平航空产业园区，建设长三角一流航空创新转化、高端制造基地和全国民航科技成果转化示范基地。到2025年，力争航空产业产值达到500亿元。</w:t>
      </w:r>
    </w:p>
    <w:p>
      <w:pPr>
        <w:pStyle w:val="15"/>
        <w:rPr>
          <w:rFonts w:hint="eastAsia"/>
        </w:rPr>
      </w:pPr>
      <w:r>
        <w:rPr>
          <w:rFonts w:hint="eastAsia"/>
        </w:rPr>
        <w:t>2.发展策略</w:t>
      </w:r>
    </w:p>
    <w:p>
      <w:pPr>
        <w:pStyle w:val="15"/>
        <w:ind w:firstLine="633"/>
        <w:rPr>
          <w:rFonts w:hint="eastAsia"/>
        </w:rPr>
      </w:pPr>
      <w:r>
        <w:rPr>
          <w:rFonts w:hint="eastAsia"/>
          <w:b/>
          <w:bCs/>
        </w:rPr>
        <w:t>用好本土高端创新资源，促进航空产业成果转化。</w:t>
      </w:r>
      <w:r>
        <w:rPr>
          <w:rFonts w:hint="eastAsia"/>
        </w:rPr>
        <w:t>抢抓长三角一体化发展战略机遇，依托西北工业大学太仓校区、西北工业大学太仓长三角研究院、</w:t>
      </w:r>
      <w:r>
        <w:t>苏州中科激光智能制造创新研究院</w:t>
      </w:r>
      <w:r>
        <w:rPr>
          <w:rFonts w:hint="eastAsia"/>
        </w:rPr>
        <w:t>等本土创新资源，搭建航空科技成果转移转化项目库与数据服务平台，完善高校和科研院所科技成果转移转化管理机制，拓展科技成果转移转化渠道。发挥太仓紧邻上海的区位优势，围绕上海打造具有全球影响力的航空制造业集群目标，积极对接临港、祝桥等航空产业园，强化与中国商飞、上海微小卫星工程中心的合作，积极吸引航空人才、科研团队，围绕航空产业“卡脖子”关键核心技术开展联合攻关，推进通用航空、民用航空、卫星应用、无人机等产业项目转化，</w:t>
      </w:r>
      <w:bookmarkStart w:id="112" w:name="_Hlk56177020"/>
      <w:r>
        <w:rPr>
          <w:rFonts w:hint="eastAsia"/>
        </w:rPr>
        <w:t>引育一批航空领域优势企业和龙头项目，</w:t>
      </w:r>
      <w:bookmarkEnd w:id="112"/>
      <w:r>
        <w:rPr>
          <w:rFonts w:hint="eastAsia"/>
        </w:rPr>
        <w:t>建成一批航空科研测试平台，打造国际化航空高端制造基地。</w:t>
      </w:r>
    </w:p>
    <w:p>
      <w:pPr>
        <w:pStyle w:val="15"/>
        <w:ind w:firstLine="633"/>
        <w:rPr>
          <w:rFonts w:hint="eastAsia"/>
        </w:rPr>
      </w:pPr>
      <w:r>
        <w:rPr>
          <w:rFonts w:hint="eastAsia"/>
          <w:b/>
          <w:bCs/>
        </w:rPr>
        <w:t>发挥太仓先进制造优势，加强航空产业配套基础。</w:t>
      </w:r>
      <w:r>
        <w:rPr>
          <w:rFonts w:hint="eastAsia"/>
        </w:rPr>
        <w:t>围绕航空延伸制造业，发展航空基础材料与智能装备、航空整机装备、机载系统与机场设备、航天装备与零部件、航空高端服务等产业细分领域，大力发展高端化制造环节和高价值服务领域。依托太仓高端装备制造和新材料产业基础，发挥对外开放对德合作优势，积极承接国际航空产业转移，着力引进国内外航空装备制造、无人机、航空航天新材料、航空职业教育培训、航空零部件制造等航空高端产业，发展飞行培训、适航测试、航空维修等高价值服务环节。围绕航空延伸制造业，发展发动机和零部件配件、精密仪器、智能装备等产业门类，加强航空产业配套基础建设。统筹协调通用航空与公共运输航空发展，推进通用机场等基础设施建设。加快民机试飞及配套、通航产业的发展，形成长三角地区飞机总装试飞、通用飞机制造、通航运营、航空保障服务为特色的航空产业基地。</w:t>
      </w:r>
    </w:p>
    <w:p>
      <w:pPr>
        <w:pStyle w:val="7"/>
        <w:ind w:firstLine="630"/>
        <w:rPr>
          <w:kern w:val="2"/>
        </w:rPr>
      </w:pPr>
      <w:bookmarkStart w:id="113" w:name="_Toc89090226"/>
      <w:r>
        <w:rPr>
          <w:kern w:val="2"/>
        </w:rPr>
        <w:t>（三）数字产业</w:t>
      </w:r>
    </w:p>
    <w:p>
      <w:pPr>
        <w:pStyle w:val="15"/>
        <w:rPr>
          <w:rFonts w:hint="eastAsia"/>
        </w:rPr>
      </w:pPr>
      <w:r>
        <w:rPr>
          <w:rFonts w:hint="eastAsia"/>
        </w:rPr>
        <w:t>1.发展目标</w:t>
      </w:r>
    </w:p>
    <w:p>
      <w:pPr>
        <w:pStyle w:val="15"/>
        <w:rPr>
          <w:rFonts w:hint="eastAsia"/>
        </w:rPr>
      </w:pPr>
      <w:r>
        <w:rPr>
          <w:rFonts w:hint="eastAsia"/>
          <w:bCs/>
        </w:rPr>
        <w:t>聚焦人工智能、大数据、区块链、集成电路等重点领域，推进软件高端化、自主化、融合化发展，提升制造业智能化改造和数字化转型供给能力，打造综合实力国内领先的软件和信息服务集群。</w:t>
      </w:r>
    </w:p>
    <w:p>
      <w:pPr>
        <w:pStyle w:val="15"/>
        <w:rPr>
          <w:rFonts w:hint="eastAsia"/>
          <w:b/>
          <w:bCs/>
        </w:rPr>
      </w:pPr>
      <w:r>
        <w:rPr>
          <w:rFonts w:hint="eastAsia"/>
        </w:rPr>
        <w:t>2.发展策略</w:t>
      </w:r>
      <w:bookmarkEnd w:id="113"/>
    </w:p>
    <w:p>
      <w:pPr>
        <w:pStyle w:val="15"/>
        <w:ind w:firstLine="633"/>
        <w:rPr>
          <w:rFonts w:hint="eastAsia"/>
        </w:rPr>
      </w:pPr>
      <w:r>
        <w:rPr>
          <w:rFonts w:hint="eastAsia"/>
          <w:b/>
          <w:bCs/>
        </w:rPr>
        <w:t>加快数字产业布局。</w:t>
      </w:r>
      <w:r>
        <w:rPr>
          <w:rFonts w:hint="eastAsia"/>
        </w:rPr>
        <w:t>围绕产业链部署创新链，加快创新资源布局，打造相互作用、相互融合的数字创新链。通过培育高企增强企业核心技术，推动企业加快数字化转型。积极融入长三角一体化数字经济产业生态，深化协同联动创新，打造临沪数字科创产业发展试验区。重点聚焦5G、人工智能、工业互联网、汽车电子、消费电子等前沿领域，培育优势核心技术。按不同应用场景，组织数字经济融合创新与供需对接。</w:t>
      </w:r>
    </w:p>
    <w:p>
      <w:pPr>
        <w:pStyle w:val="15"/>
        <w:ind w:firstLine="633"/>
      </w:pPr>
      <w:r>
        <w:rPr>
          <w:rFonts w:hint="eastAsia"/>
          <w:b/>
          <w:bCs/>
        </w:rPr>
        <w:t>促进数字技术创新引领。</w:t>
      </w:r>
      <w:r>
        <w:rPr>
          <w:rFonts w:hint="eastAsia"/>
        </w:rPr>
        <w:t>实施重点科研项目“揭榜挂帅”机制，着力突破一批“卡脖子”技术，开发一批“硬核”产品，促进创新链与产业链深度融合。加快建设人工智能创新发展试验区，突破智能传感、语音识别、计算机视觉等关键核心技术。推动“AI+制造”“AI+医药”“AI+文旅”“AI+金融”等人工智能场景率先应用，为形成数字产业集聚做出示范和引领。</w:t>
      </w:r>
    </w:p>
    <w:p>
      <w:pPr>
        <w:pStyle w:val="17"/>
        <w:ind w:firstLine="630"/>
        <w:rPr>
          <w:rFonts w:ascii="Times New Roman" w:hAnsi="Times New Roman"/>
        </w:rPr>
      </w:pPr>
      <w:bookmarkStart w:id="114" w:name="_Toc6750_WPSOffice_Level2"/>
      <w:bookmarkStart w:id="115" w:name="_Toc89090227"/>
      <w:bookmarkStart w:id="116" w:name="_Toc3858_WPSOffice_Level2"/>
      <w:bookmarkStart w:id="117" w:name="_Toc28614"/>
      <w:r>
        <w:rPr>
          <w:rFonts w:hint="eastAsia" w:ascii="Times New Roman" w:hAnsi="Times New Roman"/>
        </w:rPr>
        <w:t>四</w:t>
      </w:r>
      <w:r>
        <w:rPr>
          <w:rFonts w:ascii="Times New Roman" w:hAnsi="Times New Roman"/>
        </w:rPr>
        <w:t>、农业科技</w:t>
      </w:r>
      <w:bookmarkEnd w:id="114"/>
      <w:r>
        <w:rPr>
          <w:rFonts w:ascii="Times New Roman" w:hAnsi="Times New Roman"/>
        </w:rPr>
        <w:t>振兴</w:t>
      </w:r>
      <w:r>
        <w:rPr>
          <w:rFonts w:hint="eastAsia" w:ascii="Times New Roman" w:hAnsi="Times New Roman"/>
        </w:rPr>
        <w:t>发展</w:t>
      </w:r>
      <w:r>
        <w:rPr>
          <w:rFonts w:ascii="Times New Roman" w:hAnsi="Times New Roman"/>
        </w:rPr>
        <w:t>计划</w:t>
      </w:r>
      <w:bookmarkEnd w:id="115"/>
      <w:bookmarkEnd w:id="116"/>
      <w:bookmarkEnd w:id="117"/>
    </w:p>
    <w:p>
      <w:pPr>
        <w:pStyle w:val="15"/>
        <w:rPr>
          <w:rFonts w:hint="eastAsia"/>
          <w:lang w:bidi="ar"/>
        </w:rPr>
      </w:pPr>
      <w:bookmarkStart w:id="118" w:name="_Toc2287_WPSOffice_Level3"/>
      <w:r>
        <w:rPr>
          <w:rFonts w:hint="eastAsia"/>
          <w:lang w:bidi="ar"/>
        </w:rPr>
        <w:t>以推动农业高质量发展为目标，加强农业产业融合创新，加强“卡脖子”技术攻关，加快发展农业绿色发展关键技术，完善农业科技社会化服务体系，提高农业发展质量效益和核心竞争力，为我市乡村全面振兴和农业农村现代化提供坚实的科技支撑。</w:t>
      </w:r>
    </w:p>
    <w:p>
      <w:pPr>
        <w:pStyle w:val="7"/>
        <w:ind w:firstLine="630"/>
        <w:rPr>
          <w:color w:val="0000FF"/>
          <w:lang w:bidi="ar"/>
        </w:rPr>
      </w:pPr>
      <w:r>
        <w:rPr>
          <w:lang w:bidi="ar"/>
        </w:rPr>
        <w:t>（一）科技助力农业产业高质高效发展</w:t>
      </w:r>
    </w:p>
    <w:p>
      <w:pPr>
        <w:pStyle w:val="15"/>
        <w:ind w:firstLine="633"/>
        <w:rPr>
          <w:rFonts w:hint="eastAsia"/>
          <w:kern w:val="2"/>
          <w:lang w:bidi="ar"/>
        </w:rPr>
      </w:pPr>
      <w:r>
        <w:rPr>
          <w:rFonts w:hint="eastAsia"/>
          <w:b/>
          <w:kern w:val="2"/>
          <w:lang w:bidi="ar"/>
        </w:rPr>
        <w:t>推进产业深度融合。</w:t>
      </w:r>
      <w:r>
        <w:rPr>
          <w:rFonts w:hint="eastAsia"/>
          <w:kern w:val="2"/>
          <w:lang w:bidi="ar"/>
        </w:rPr>
        <w:t>积极面向农业科技前沿，加强生物技术、信息技术等与现代农业的融合创新。加快推动现代加工业、贮藏保鲜、冷链物流、休闲农业、生态康养、品牌营销等配套性产业发展，连片成线打造乡村特色优势产业集群，探索形成一二三产业融合发展的长效机制。</w:t>
      </w:r>
    </w:p>
    <w:p>
      <w:pPr>
        <w:pStyle w:val="15"/>
        <w:ind w:firstLine="633"/>
        <w:rPr>
          <w:rFonts w:hint="eastAsia"/>
          <w:kern w:val="2"/>
          <w:lang w:bidi="ar"/>
        </w:rPr>
      </w:pPr>
      <w:r>
        <w:rPr>
          <w:rFonts w:hint="eastAsia"/>
          <w:b/>
          <w:kern w:val="2"/>
          <w:lang w:bidi="ar"/>
        </w:rPr>
        <w:t>加强农业科技支撑。</w:t>
      </w:r>
      <w:r>
        <w:rPr>
          <w:rFonts w:hint="eastAsia"/>
          <w:kern w:val="2"/>
          <w:lang w:bidi="ar"/>
        </w:rPr>
        <w:t>聚焦现代化科技成果转化和应用，支持打造高能级农业科技创新平台，加大高层次创新型人才和紧缺急需人才引进力度，加快培育农业科技型企业和高新技术企业，进一步集聚人才、技术、产业等创新资源，实现乡村产业基地、人才队伍一体化发展。加强农业科技社会化服务体系建设，稳步提升区域农业科技进步贡献率，力争到2025年达到75%。</w:t>
      </w:r>
    </w:p>
    <w:p>
      <w:pPr>
        <w:pStyle w:val="15"/>
        <w:ind w:firstLine="633"/>
        <w:rPr>
          <w:rFonts w:hint="eastAsia"/>
          <w:kern w:val="2"/>
          <w:lang w:bidi="ar"/>
        </w:rPr>
      </w:pPr>
      <w:r>
        <w:rPr>
          <w:rFonts w:hint="eastAsia"/>
          <w:b/>
          <w:kern w:val="2"/>
          <w:lang w:bidi="ar"/>
        </w:rPr>
        <w:t>推进技术集成创新。</w:t>
      </w:r>
      <w:r>
        <w:rPr>
          <w:rFonts w:hint="eastAsia"/>
          <w:kern w:val="2"/>
          <w:lang w:bidi="ar"/>
        </w:rPr>
        <w:t>积极面向农业科技前沿，加强生物技术、信息技术等与现代农业的融合创新。加快推动现代加工业、贮藏保鲜、冷链物流等领域关键技术攻关，促进精准农业及生态循环农业等发展。加强现代农业产业技术集成创新和成果示范应用，重点聚焦农业重大病虫害综合防控、重大动物疫病和人兽共患疫病防控、耕地质量提升等关键技术研究，构建农业创新发展科技支撑体系，示范推广一批农业可持续发展模式。</w:t>
      </w:r>
    </w:p>
    <w:bookmarkEnd w:id="118"/>
    <w:p>
      <w:pPr>
        <w:pStyle w:val="7"/>
        <w:ind w:firstLine="630"/>
      </w:pPr>
      <w:bookmarkStart w:id="119" w:name="_Toc89090228"/>
      <w:bookmarkStart w:id="120" w:name="_Toc13149_WPSOffice_Level3"/>
      <w:r>
        <w:t>（二）推进现代农业园建设农业高新示范区</w:t>
      </w:r>
      <w:bookmarkEnd w:id="119"/>
      <w:bookmarkEnd w:id="120"/>
    </w:p>
    <w:p>
      <w:pPr>
        <w:pStyle w:val="15"/>
        <w:ind w:firstLine="633"/>
        <w:rPr>
          <w:rFonts w:hint="eastAsia"/>
        </w:rPr>
      </w:pPr>
      <w:r>
        <w:rPr>
          <w:rFonts w:hint="eastAsia"/>
          <w:b/>
          <w:bCs/>
        </w:rPr>
        <w:t>以现代田园城建设为方向，高标准建设太仓现代农业产业示范园。</w:t>
      </w:r>
      <w:r>
        <w:rPr>
          <w:rFonts w:hint="eastAsia"/>
        </w:rPr>
        <w:t>发展以优质稻米为主导，果蔬种植、畜禽养殖、水产养殖为支撑，农产品仓储加工及农业休闲观光为提升的绿色循环区域农业产业技术体系。深入推进区域现代农业产业体系基地建设，围绕现代农业重大科技需求，强化示范园农业高新技术研发与科技成果转化、应用和示范能力。不断完善园区农业技术推广体系，探索以农技推广机构、农村科技服务超市、星创天地、科技特派员等载体平台联合开展农业科技社会化服务的模式。</w:t>
      </w:r>
    </w:p>
    <w:p>
      <w:pPr>
        <w:pStyle w:val="15"/>
        <w:ind w:firstLine="633"/>
        <w:rPr>
          <w:rFonts w:hint="eastAsia"/>
        </w:rPr>
      </w:pPr>
      <w:r>
        <w:rPr>
          <w:rFonts w:hint="eastAsia"/>
          <w:b/>
          <w:bCs/>
        </w:rPr>
        <w:t>推进现代农业产业示范园向省级现代农业高新技术产业示范区发展。</w:t>
      </w:r>
      <w:r>
        <w:rPr>
          <w:rFonts w:hint="eastAsia"/>
        </w:rPr>
        <w:t>建立以农业企业为主体的现代农业科技创新体系，支持企业与涉农高校、科研机构共建大院大所研发服务平台，加大科研投入并注重农业科技成果转化。进一步深化与省农科院、南京农业大学、扬州大学、南京林业大学等的战略合作，联合其他高校院所开展跨领域创新合作，攻克“卡脖子”关键技术，积极申报国家重点研发计划农业农村领域专项等各级各类农业科技项目。通过协同创新逐步打造区域农业“硅谷”，率先成为苏南地区省级农业高新技术示范区之一。</w:t>
      </w:r>
    </w:p>
    <w:p>
      <w:pPr>
        <w:pStyle w:val="14"/>
        <w:rPr>
          <w:rStyle w:val="19"/>
          <w:rFonts w:ascii="Times New Roman"/>
          <w:bCs/>
          <w:szCs w:val="44"/>
        </w:rPr>
      </w:pPr>
      <w:bookmarkStart w:id="121" w:name="_Toc26948"/>
      <w:bookmarkStart w:id="122" w:name="_Toc23502_WPSOffice_Level1"/>
      <w:r>
        <w:rPr>
          <w:rStyle w:val="19"/>
          <w:rFonts w:ascii="Times New Roman" w:eastAsia="仿宋_GB2312"/>
          <w:b w:val="0"/>
          <w:bCs/>
          <w:sz w:val="32"/>
          <w:szCs w:val="32"/>
        </w:rPr>
        <w:br w:type="page"/>
      </w:r>
      <w:bookmarkStart w:id="123" w:name="_Toc10814_WPSOffice_Level1"/>
      <w:bookmarkStart w:id="124" w:name="_Toc89090234"/>
      <w:r>
        <w:rPr>
          <w:rFonts w:ascii="Times New Roman"/>
        </w:rPr>
        <w:t>第六章</w:t>
      </w:r>
      <w:r>
        <w:rPr>
          <w:rFonts w:hint="eastAsia" w:ascii="Times New Roman"/>
        </w:rPr>
        <w:t xml:space="preserve"> 强化组织保障，确保规划实施见成效</w:t>
      </w:r>
      <w:bookmarkEnd w:id="121"/>
      <w:bookmarkEnd w:id="122"/>
      <w:bookmarkEnd w:id="123"/>
      <w:bookmarkEnd w:id="124"/>
    </w:p>
    <w:p>
      <w:pPr>
        <w:spacing w:line="560" w:lineRule="exact"/>
        <w:ind w:firstLine="640" w:firstLineChars="200"/>
        <w:jc w:val="center"/>
        <w:rPr>
          <w:rFonts w:ascii="Times New Roman" w:eastAsia="仿宋_GB2312"/>
          <w:szCs w:val="32"/>
        </w:rPr>
      </w:pPr>
    </w:p>
    <w:p>
      <w:pPr>
        <w:pStyle w:val="17"/>
        <w:ind w:firstLine="630"/>
        <w:rPr>
          <w:rFonts w:ascii="Times New Roman" w:hAnsi="Times New Roman"/>
        </w:rPr>
      </w:pPr>
      <w:bookmarkStart w:id="125" w:name="_Toc17814"/>
      <w:bookmarkStart w:id="126" w:name="_Toc19250_WPSOffice_Level2"/>
      <w:bookmarkStart w:id="127" w:name="_Toc89090235"/>
      <w:bookmarkStart w:id="128" w:name="_Toc13149_WPSOffice_Level2"/>
      <w:r>
        <w:rPr>
          <w:rFonts w:ascii="Times New Roman" w:hAnsi="Times New Roman"/>
        </w:rPr>
        <w:t>一、加强组织领导</w:t>
      </w:r>
      <w:bookmarkEnd w:id="125"/>
      <w:bookmarkEnd w:id="126"/>
      <w:bookmarkEnd w:id="127"/>
      <w:bookmarkEnd w:id="128"/>
    </w:p>
    <w:p>
      <w:pPr>
        <w:pStyle w:val="15"/>
      </w:pPr>
      <w:r>
        <w:t>加强党对科技创新工作的全面领导和统筹布局，建立推动科技创新发展的议事协调机构。各</w:t>
      </w:r>
      <w:r>
        <w:rPr>
          <w:rFonts w:hint="eastAsia"/>
        </w:rPr>
        <w:t>镇（区）</w:t>
      </w:r>
      <w:r>
        <w:t>要站在全局和战略高度，把科技创新工作放在发展全局的核心位置，根据发展阶段、产业基础和资源禀赋，进一步明晰科技创新的长远目标、近期重点和实现路径，推动区域创新发展水平持续提升。充分发挥好创新工作例会制度，定期召开工作会议，统筹协调科技创新发展中的重大问题，同时围绕各板块产业布局，构建创新矩阵，以强带弱，着力建设创新网格化管理体系。</w:t>
      </w:r>
    </w:p>
    <w:p>
      <w:pPr>
        <w:pStyle w:val="17"/>
        <w:ind w:firstLine="630"/>
        <w:rPr>
          <w:rFonts w:ascii="Times New Roman" w:hAnsi="Times New Roman"/>
        </w:rPr>
      </w:pPr>
      <w:bookmarkStart w:id="129" w:name="_Toc89090236"/>
      <w:r>
        <w:rPr>
          <w:rFonts w:ascii="Times New Roman" w:hAnsi="Times New Roman"/>
        </w:rPr>
        <w:t>二、加强科技投入</w:t>
      </w:r>
      <w:bookmarkEnd w:id="129"/>
    </w:p>
    <w:p>
      <w:pPr>
        <w:pStyle w:val="15"/>
        <w:rPr>
          <w:rFonts w:hint="eastAsia"/>
        </w:rPr>
      </w:pPr>
      <w:r>
        <w:rPr>
          <w:rFonts w:hint="eastAsia"/>
        </w:rPr>
        <w:t>进一步加大财政对科技投入的力度，确保财政科技投入与财力增长相适应。完善财政科技投入方式，显著提升“引导性”投入的比重，推动更多的社会资本进入科技创新领域，努力形成政府引导与市场机制相结合的创新投入机制。围绕产业高端发展，健全科技计划管理体系，优化财政科技投入结构，重点支持重大技术突破、科技成果转化、科技平台建设、科技人才引进、战略性新兴产业培育等。加强财政科技经费预算管理，建立完善财政科技经费使用绩效评价体系，提高经费使用效益。</w:t>
      </w:r>
    </w:p>
    <w:p>
      <w:pPr>
        <w:pStyle w:val="17"/>
        <w:ind w:firstLine="630"/>
        <w:rPr>
          <w:rFonts w:ascii="Times New Roman" w:hAnsi="Times New Roman"/>
        </w:rPr>
      </w:pPr>
      <w:bookmarkStart w:id="130" w:name="_Toc11055"/>
      <w:bookmarkStart w:id="131" w:name="_Toc14649_WPSOffice_Level2"/>
      <w:bookmarkStart w:id="132" w:name="_Toc8655"/>
      <w:bookmarkStart w:id="133" w:name="_Toc20987"/>
      <w:bookmarkStart w:id="134" w:name="_Toc15393"/>
      <w:bookmarkStart w:id="135" w:name="_Toc89090237"/>
      <w:bookmarkStart w:id="136" w:name="_Toc25892"/>
      <w:bookmarkStart w:id="137" w:name="_Toc82194966"/>
      <w:r>
        <w:rPr>
          <w:rFonts w:ascii="Times New Roman" w:hAnsi="Times New Roman"/>
        </w:rPr>
        <w:t>三</w:t>
      </w:r>
      <w:bookmarkEnd w:id="130"/>
      <w:bookmarkEnd w:id="131"/>
      <w:bookmarkEnd w:id="132"/>
      <w:r>
        <w:rPr>
          <w:rFonts w:ascii="Times New Roman" w:hAnsi="Times New Roman"/>
        </w:rPr>
        <w:t>、强化政策保障</w:t>
      </w:r>
      <w:bookmarkEnd w:id="133"/>
      <w:bookmarkEnd w:id="134"/>
      <w:bookmarkEnd w:id="135"/>
      <w:bookmarkEnd w:id="136"/>
      <w:bookmarkEnd w:id="137"/>
    </w:p>
    <w:p>
      <w:pPr>
        <w:pStyle w:val="15"/>
      </w:pPr>
      <w:r>
        <w:t>加强政策研究制定，</w:t>
      </w:r>
      <w:r>
        <w:rPr>
          <w:rFonts w:hint="eastAsia"/>
        </w:rPr>
        <w:t>包括</w:t>
      </w:r>
      <w:r>
        <w:t>加大科技招商力度、强化科技企业培育、加大科技研发投入、鼓励科技成果转化、重视科技人才队伍建设、优化创新服务环境等创新政策措施。加强科技政策与财税、产业、金融、知识产权、人才、教育、贸易等政策的协同，不断完善科技创新政策体系，形成目标一致、部门配合的政策合力，提高政策的系统性和可操作性。建立创新政策调查和评价制度，广泛听取企业和社会公众意见，定期对政策落实情况进行调查跟踪分析，及时调整完善。</w:t>
      </w:r>
    </w:p>
    <w:p>
      <w:pPr>
        <w:pStyle w:val="17"/>
        <w:ind w:firstLine="630"/>
        <w:rPr>
          <w:rFonts w:ascii="Times New Roman" w:hAnsi="Times New Roman"/>
        </w:rPr>
      </w:pPr>
      <w:bookmarkStart w:id="138" w:name="_Toc89090238"/>
      <w:r>
        <w:rPr>
          <w:rFonts w:ascii="Times New Roman" w:hAnsi="Times New Roman"/>
        </w:rPr>
        <w:t>四、推进实施协调</w:t>
      </w:r>
      <w:bookmarkEnd w:id="138"/>
    </w:p>
    <w:p>
      <w:pPr>
        <w:pStyle w:val="15"/>
      </w:pPr>
      <w:r>
        <w:t>加强组织合力，推进科技创新规划实施。做好与上位规划、横向规划的衔接，做到同步推进，形成凝聚发展合力，确保规划实施顺畅。建立健全科技创新规划监测评估制度和动态调整机制。通过监测评估，分析本规划的实施进展情况。特别是对本规划提出的重大任务的执行情况进行阶段性管理，为科技创新规划的动态调整提供依据。</w:t>
      </w:r>
      <w:r>
        <w:rPr>
          <w:lang w:bidi="ar"/>
        </w:rPr>
        <w:t>强化规划实施的中期评估和总结评估，充分调动和激发科技、产业、企业等社会各界的积极性，构建规划实施的强大合力与制度保障，共同推动规划顺利实施。</w:t>
      </w:r>
    </w:p>
    <w:p>
      <w:pPr>
        <w:pStyle w:val="17"/>
        <w:ind w:firstLine="630"/>
        <w:rPr>
          <w:rFonts w:ascii="Times New Roman" w:hAnsi="Times New Roman" w:eastAsia="仿宋_GB2312"/>
        </w:rPr>
      </w:pPr>
      <w:bookmarkStart w:id="139" w:name="_Toc29780"/>
      <w:bookmarkStart w:id="140" w:name="_Toc28427"/>
      <w:bookmarkStart w:id="141" w:name="_Toc82194967"/>
      <w:bookmarkStart w:id="142" w:name="_Toc4500"/>
      <w:bookmarkStart w:id="143" w:name="_Toc4332"/>
      <w:bookmarkStart w:id="144" w:name="_Toc89090239"/>
      <w:bookmarkStart w:id="145" w:name="_Toc5843"/>
      <w:bookmarkStart w:id="146" w:name="_Toc2419_WPSOffice_Level1"/>
      <w:r>
        <w:rPr>
          <w:rFonts w:ascii="Times New Roman" w:hAnsi="Times New Roman"/>
        </w:rPr>
        <w:t>五、</w:t>
      </w:r>
      <w:bookmarkEnd w:id="139"/>
      <w:bookmarkEnd w:id="140"/>
      <w:r>
        <w:rPr>
          <w:rFonts w:ascii="Times New Roman" w:hAnsi="Times New Roman"/>
        </w:rPr>
        <w:t>优化创新环境</w:t>
      </w:r>
      <w:bookmarkEnd w:id="141"/>
      <w:bookmarkEnd w:id="142"/>
      <w:bookmarkEnd w:id="143"/>
      <w:bookmarkEnd w:id="144"/>
      <w:bookmarkEnd w:id="145"/>
    </w:p>
    <w:bookmarkEnd w:id="146"/>
    <w:p>
      <w:pPr>
        <w:pStyle w:val="15"/>
      </w:pPr>
      <w:r>
        <w:t>营造多元、包容、和谐的社会氛围和创新创业文化，加大科技创新规划的宣传和舆论引导，弘扬敢闯敢试、勇于创新、追求卓越、宽容失败、开放包容、崇尚竞争的创新精神，构建有利于创新人才成长的文化环境和学术氛围。探索政府引导、市场主导的全新服务机制，搭建网格化科技服务体系，为大众创业、万众创新拓展新空间。建立鼓励创新、宽容失败的容错机制，鼓励科研人员大胆探索、挑战未知，通过价值取向与行为规范培育，营造适合创新的土壤和环境。</w:t>
      </w:r>
    </w:p>
    <w:p>
      <w:bookmarkStart w:id="147" w:name="_GoBack"/>
      <w:bookmarkEnd w:id="147"/>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鼎简仿宋">
    <w:altName w:val="仿宋"/>
    <w:panose1 w:val="00000000000000000000"/>
    <w:charset w:val="86"/>
    <w:family w:val="modern"/>
    <w:pitch w:val="default"/>
    <w:sig w:usb0="00000000" w:usb1="00000000" w:usb2="00000010" w:usb3="00000000" w:csb0="00040000" w:csb1="00000000"/>
  </w:font>
  <w:font w:name="汉鼎简大宋">
    <w:altName w:val="宋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汉鼎简楷体">
    <w:altName w:val="宋体"/>
    <w:panose1 w:val="00000000000000000000"/>
    <w:charset w:val="86"/>
    <w:family w:val="auto"/>
    <w:pitch w:val="default"/>
    <w:sig w:usb0="00000000" w:usb1="00000000" w:usb2="00000010" w:usb3="00000000" w:csb0="00040000" w:csb1="00000000"/>
  </w:font>
  <w:font w:name="Book Antiqua">
    <w:panose1 w:val="02040602050305030304"/>
    <w:charset w:val="00"/>
    <w:family w:val="roman"/>
    <w:pitch w:val="default"/>
    <w:sig w:usb0="00000287" w:usb1="00000000" w:usb2="00000000" w:usb3="00000000" w:csb0="2000009F" w:csb1="DFD7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t>—</w:t>
    </w:r>
    <w:r>
      <w:rPr>
        <w:rFonts w:hint="eastAsia"/>
      </w:rPr>
      <w:t xml:space="preserve"> </w:t>
    </w:r>
    <w:r>
      <w:fldChar w:fldCharType="begin"/>
    </w:r>
    <w:r>
      <w:instrText xml:space="preserve"> PAGE   \* MERGEFORMAT </w:instrText>
    </w:r>
    <w:r>
      <w:fldChar w:fldCharType="separate"/>
    </w:r>
    <w:r>
      <w:rPr>
        <w:lang w:val="zh-CN"/>
      </w:rPr>
      <w:t>3</w:t>
    </w:r>
    <w:r>
      <w:fldChar w:fldCharType="end"/>
    </w:r>
    <w:r>
      <w:rPr>
        <w:rFonts w:hint="eastAsia"/>
      </w:rPr>
      <w:t xml:space="preserve"> —</w:t>
    </w: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F762A2"/>
    <w:rsid w:val="26F76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utoSpaceDE w:val="0"/>
      <w:autoSpaceDN w:val="0"/>
      <w:snapToGrid w:val="0"/>
      <w:spacing w:line="590" w:lineRule="atLeast"/>
      <w:ind w:firstLine="624"/>
      <w:jc w:val="both"/>
    </w:pPr>
    <w:rPr>
      <w:rFonts w:ascii="汉鼎简仿宋" w:hAnsi="Times New Roman" w:eastAsia="汉鼎简仿宋" w:cs="Times New Roman"/>
      <w:snapToGrid w:val="0"/>
      <w:sz w:val="32"/>
      <w:lang w:val="en-US" w:eastAsia="zh-CN" w:bidi="ar-SA"/>
    </w:rPr>
  </w:style>
  <w:style w:type="paragraph" w:styleId="2">
    <w:name w:val="heading 1"/>
    <w:basedOn w:val="1"/>
    <w:next w:val="1"/>
    <w:link w:val="19"/>
    <w:qFormat/>
    <w:uiPriority w:val="0"/>
    <w:pPr>
      <w:keepNext/>
      <w:keepLines/>
      <w:spacing w:before="340" w:after="330" w:line="578" w:lineRule="atLeast"/>
      <w:outlineLvl w:val="0"/>
    </w:pPr>
    <w:rPr>
      <w:b/>
      <w:kern w:val="44"/>
      <w:sz w:val="44"/>
    </w:rPr>
  </w:style>
  <w:style w:type="paragraph" w:styleId="3">
    <w:name w:val="heading 3"/>
    <w:basedOn w:val="1"/>
    <w:next w:val="1"/>
    <w:semiHidden/>
    <w:unhideWhenUsed/>
    <w:qFormat/>
    <w:uiPriority w:val="0"/>
    <w:pPr>
      <w:keepNext/>
      <w:keepLines/>
      <w:spacing w:before="260" w:after="260" w:line="416" w:lineRule="atLeast"/>
      <w:outlineLvl w:val="2"/>
    </w:pPr>
    <w:rPr>
      <w:b/>
      <w:bCs/>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w:basedOn w:val="1"/>
    <w:unhideWhenUsed/>
    <w:qFormat/>
    <w:uiPriority w:val="0"/>
    <w:pPr>
      <w:autoSpaceDE/>
      <w:autoSpaceDN/>
      <w:snapToGrid/>
      <w:spacing w:line="240" w:lineRule="auto"/>
      <w:ind w:firstLine="0"/>
    </w:pPr>
    <w:rPr>
      <w:rFonts w:ascii="Times New Roman" w:eastAsia="宋体"/>
      <w:snapToGrid/>
      <w:kern w:val="2"/>
      <w:sz w:val="30"/>
      <w:szCs w:val="24"/>
    </w:rPr>
  </w:style>
  <w:style w:type="paragraph" w:styleId="5">
    <w:name w:val="footer"/>
    <w:basedOn w:val="1"/>
    <w:qFormat/>
    <w:uiPriority w:val="99"/>
    <w:pPr>
      <w:tabs>
        <w:tab w:val="center" w:pos="4153"/>
        <w:tab w:val="right" w:pos="8306"/>
      </w:tabs>
      <w:spacing w:line="400" w:lineRule="atLeast"/>
      <w:ind w:firstLine="0"/>
      <w:jc w:val="center"/>
    </w:pPr>
    <w:rPr>
      <w:rFonts w:ascii="宋体" w:hAnsi="宋体" w:eastAsia="宋体"/>
      <w:sz w:val="28"/>
    </w:rPr>
  </w:style>
  <w:style w:type="paragraph" w:styleId="6">
    <w:name w:val="toc 1"/>
    <w:basedOn w:val="1"/>
    <w:next w:val="1"/>
    <w:unhideWhenUsed/>
    <w:uiPriority w:val="39"/>
    <w:pPr>
      <w:autoSpaceDE/>
      <w:autoSpaceDN/>
      <w:snapToGrid/>
      <w:spacing w:line="240" w:lineRule="auto"/>
      <w:ind w:firstLine="0"/>
    </w:pPr>
    <w:rPr>
      <w:rFonts w:ascii="Times New Roman" w:eastAsia="宋体"/>
      <w:snapToGrid/>
      <w:kern w:val="2"/>
      <w:sz w:val="21"/>
      <w:szCs w:val="24"/>
    </w:rPr>
  </w:style>
  <w:style w:type="paragraph" w:styleId="7">
    <w:name w:val="Subtitle"/>
    <w:basedOn w:val="1"/>
    <w:next w:val="1"/>
    <w:qFormat/>
    <w:uiPriority w:val="0"/>
    <w:pPr>
      <w:spacing w:line="560" w:lineRule="exact"/>
      <w:ind w:firstLine="200" w:firstLineChars="200"/>
      <w:jc w:val="left"/>
      <w:outlineLvl w:val="1"/>
    </w:pPr>
    <w:rPr>
      <w:rFonts w:ascii="Cambria" w:hAnsi="Cambria" w:eastAsia="楷体_GB2312" w:cs="Times New Roman"/>
      <w:bCs/>
      <w:kern w:val="28"/>
      <w:szCs w:val="32"/>
    </w:rPr>
  </w:style>
  <w:style w:type="paragraph" w:styleId="8">
    <w:name w:val="toc 2"/>
    <w:basedOn w:val="1"/>
    <w:next w:val="1"/>
    <w:unhideWhenUsed/>
    <w:qFormat/>
    <w:uiPriority w:val="39"/>
    <w:pPr>
      <w:autoSpaceDE/>
      <w:autoSpaceDN/>
      <w:snapToGrid/>
      <w:spacing w:line="240" w:lineRule="auto"/>
      <w:ind w:left="420" w:leftChars="200" w:firstLine="0"/>
    </w:pPr>
    <w:rPr>
      <w:rFonts w:ascii="Times New Roman" w:eastAsia="宋体"/>
      <w:snapToGrid/>
      <w:kern w:val="2"/>
      <w:sz w:val="21"/>
      <w:szCs w:val="24"/>
    </w:rPr>
  </w:style>
  <w:style w:type="character" w:styleId="11">
    <w:name w:val="Hyperlink"/>
    <w:qFormat/>
    <w:uiPriority w:val="99"/>
    <w:rPr>
      <w:color w:val="333333"/>
      <w:u w:val="none"/>
    </w:rPr>
  </w:style>
  <w:style w:type="character" w:styleId="12">
    <w:name w:val="annotation reference"/>
    <w:qFormat/>
    <w:uiPriority w:val="0"/>
    <w:rPr>
      <w:sz w:val="21"/>
      <w:szCs w:val="21"/>
    </w:rPr>
  </w:style>
  <w:style w:type="paragraph" w:customStyle="1" w:styleId="13">
    <w:name w:val="WPSOffice手动目录 1"/>
    <w:qFormat/>
    <w:uiPriority w:val="0"/>
    <w:rPr>
      <w:rFonts w:ascii="Times New Roman" w:hAnsi="Times New Roman" w:eastAsia="宋体" w:cs="Times New Roman"/>
      <w:lang w:val="en-US" w:eastAsia="zh-CN" w:bidi="ar-SA"/>
    </w:rPr>
  </w:style>
  <w:style w:type="paragraph" w:customStyle="1" w:styleId="14">
    <w:name w:val="标题1"/>
    <w:basedOn w:val="1"/>
    <w:next w:val="1"/>
    <w:qFormat/>
    <w:uiPriority w:val="0"/>
    <w:pPr>
      <w:tabs>
        <w:tab w:val="left" w:pos="9193"/>
        <w:tab w:val="left" w:pos="9827"/>
      </w:tabs>
      <w:spacing w:line="700" w:lineRule="atLeast"/>
      <w:ind w:firstLine="0"/>
      <w:jc w:val="center"/>
    </w:pPr>
    <w:rPr>
      <w:rFonts w:ascii="汉鼎简大宋" w:eastAsia="方正小标宋简体"/>
      <w:sz w:val="44"/>
    </w:rPr>
  </w:style>
  <w:style w:type="paragraph" w:customStyle="1" w:styleId="15">
    <w:name w:val="样式1"/>
    <w:basedOn w:val="16"/>
    <w:qFormat/>
    <w:uiPriority w:val="0"/>
    <w:rPr>
      <w:rFonts w:ascii="Times New Roman"/>
    </w:rPr>
  </w:style>
  <w:style w:type="paragraph" w:customStyle="1" w:styleId="16">
    <w:name w:val="正文1"/>
    <w:basedOn w:val="1"/>
    <w:qFormat/>
    <w:uiPriority w:val="0"/>
    <w:pPr>
      <w:spacing w:line="560" w:lineRule="exact"/>
      <w:ind w:firstLine="630" w:firstLineChars="200"/>
    </w:pPr>
    <w:rPr>
      <w:rFonts w:eastAsia="仿宋_GB2312"/>
      <w:szCs w:val="32"/>
    </w:rPr>
  </w:style>
  <w:style w:type="paragraph" w:customStyle="1" w:styleId="17">
    <w:name w:val="标题2"/>
    <w:basedOn w:val="1"/>
    <w:next w:val="1"/>
    <w:qFormat/>
    <w:uiPriority w:val="0"/>
    <w:pPr>
      <w:spacing w:line="560" w:lineRule="exact"/>
      <w:ind w:firstLine="200" w:firstLineChars="200"/>
      <w:jc w:val="left"/>
    </w:pPr>
    <w:rPr>
      <w:rFonts w:ascii="汉鼎简楷体" w:hAnsi="Book Antiqua" w:eastAsia="黑体"/>
    </w:rPr>
  </w:style>
  <w:style w:type="character" w:customStyle="1" w:styleId="18">
    <w:name w:val="font11"/>
    <w:qFormat/>
    <w:uiPriority w:val="0"/>
    <w:rPr>
      <w:rFonts w:hint="eastAsia" w:ascii="宋体" w:hAnsi="宋体" w:eastAsia="宋体" w:cs="宋体"/>
      <w:color w:val="000000"/>
      <w:sz w:val="21"/>
      <w:szCs w:val="21"/>
      <w:u w:val="none"/>
    </w:rPr>
  </w:style>
  <w:style w:type="character" w:customStyle="1" w:styleId="19">
    <w:name w:val="标题 1 Char"/>
    <w:link w:val="2"/>
    <w:uiPriority w:val="0"/>
    <w:rPr>
      <w:b/>
      <w:kern w:val="44"/>
      <w:sz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2021-12-23T05:22:00Z</dcterms:created>
  <dc:creator>庄伯阳</dc:creator>
  <cp:lastModifiedBy>庄伯阳</cp:lastModifiedBy>
  <dcterms:modified xsi:type="dcterms:W3CDTF">2021-12-23T05:23:24Z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780D694C594B4354B943D85DBB4DC803</vt:lpwstr>
  </property>
</Properties>
</file>