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苏州工业园区</w:t>
      </w:r>
      <w:r>
        <w:rPr>
          <w:rFonts w:hint="eastAsia" w:ascii="方正小标宋简体" w:hAnsi="方正小标宋简体" w:eastAsia="方正小标宋简体" w:cs="方正小标宋简体"/>
          <w:sz w:val="44"/>
          <w:szCs w:val="44"/>
        </w:rPr>
        <w:t>教育系统消防安全集中除患攻坚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大整治</w:t>
      </w:r>
      <w:r>
        <w:rPr>
          <w:rFonts w:hint="eastAsia" w:ascii="方正小标宋简体" w:hAnsi="方正小标宋简体" w:eastAsia="方正小标宋简体" w:cs="方正小标宋简体"/>
          <w:sz w:val="44"/>
          <w:szCs w:val="44"/>
          <w:lang w:val="en-US" w:eastAsia="zh-CN"/>
        </w:rPr>
        <w:t>专项</w:t>
      </w:r>
      <w:r>
        <w:rPr>
          <w:rFonts w:hint="eastAsia" w:ascii="方正小标宋简体" w:hAnsi="方正小标宋简体" w:eastAsia="方正小标宋简体" w:cs="方正小标宋简体"/>
          <w:sz w:val="44"/>
          <w:szCs w:val="44"/>
        </w:rPr>
        <w:t>行动</w:t>
      </w:r>
      <w:r>
        <w:rPr>
          <w:rFonts w:hint="eastAsia" w:ascii="方正小标宋简体" w:hAnsi="方正小标宋简体" w:eastAsia="方正小标宋简体" w:cs="方正小标宋简体"/>
          <w:sz w:val="44"/>
          <w:szCs w:val="44"/>
          <w:lang w:val="en-US" w:eastAsia="zh-CN"/>
        </w:rPr>
        <w:t>工作</w:t>
      </w:r>
      <w:r>
        <w:rPr>
          <w:rFonts w:hint="eastAsia" w:ascii="方正小标宋简体" w:hAnsi="方正小标宋简体" w:eastAsia="方正小标宋简体" w:cs="方正小标宋简体"/>
          <w:sz w:val="44"/>
          <w:szCs w:val="44"/>
        </w:rPr>
        <w:t>方案</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7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58" w:firstLineChars="0"/>
        <w:textAlignment w:val="auto"/>
        <w:rPr>
          <w:rFonts w:hint="eastAsia" w:ascii="仿宋" w:hAnsi="仿宋" w:eastAsia="仿宋" w:cs="仿宋"/>
          <w:sz w:val="32"/>
          <w:szCs w:val="32"/>
        </w:rPr>
      </w:pPr>
      <w:r>
        <w:rPr>
          <w:rFonts w:hint="eastAsia" w:ascii="仿宋" w:hAnsi="仿宋" w:eastAsia="仿宋" w:cs="仿宋"/>
          <w:sz w:val="32"/>
          <w:szCs w:val="32"/>
        </w:rPr>
        <w:t>为深刻汲取江西新余市“1·24”特别重大火灾事故、河南南阳市“1·19”重大火灾事故教训，深入贯彻习近平总书记重要指示精神和中央领导同志批示要求，认真落实全国安全生产电视电话会议和消防安全集中除患攻坚大整治行动部署，坚决彻底整治学校（含幼儿园）及校外培训机构突出风险隐患，坚决防范和遏制群死群伤火灾事故发生，</w:t>
      </w:r>
      <w:r>
        <w:rPr>
          <w:rFonts w:ascii="仿宋" w:hAnsi="仿宋" w:eastAsia="仿宋" w:cs="仿宋"/>
          <w:spacing w:val="-3"/>
          <w:sz w:val="32"/>
          <w:szCs w:val="32"/>
        </w:rPr>
        <w:t>结合教育部</w:t>
      </w:r>
      <w:r>
        <w:rPr>
          <w:rFonts w:hint="eastAsia" w:ascii="仿宋" w:hAnsi="仿宋" w:eastAsia="仿宋" w:cs="仿宋"/>
          <w:spacing w:val="-3"/>
          <w:sz w:val="32"/>
          <w:szCs w:val="32"/>
          <w:lang w:eastAsia="zh-CN"/>
        </w:rPr>
        <w:t>、</w:t>
      </w:r>
      <w:r>
        <w:rPr>
          <w:rFonts w:ascii="仿宋" w:hAnsi="仿宋" w:eastAsia="仿宋" w:cs="仿宋"/>
          <w:spacing w:val="-3"/>
          <w:sz w:val="32"/>
          <w:szCs w:val="32"/>
        </w:rPr>
        <w:t>省委省政府</w:t>
      </w:r>
      <w:r>
        <w:rPr>
          <w:rFonts w:hint="eastAsia" w:ascii="仿宋" w:hAnsi="仿宋" w:eastAsia="仿宋" w:cs="仿宋"/>
          <w:spacing w:val="-3"/>
          <w:sz w:val="32"/>
          <w:szCs w:val="32"/>
          <w:lang w:val="en-US" w:eastAsia="zh-CN"/>
        </w:rPr>
        <w:t>和市委市政府、市教育局</w:t>
      </w:r>
      <w:r>
        <w:rPr>
          <w:rFonts w:ascii="仿宋" w:hAnsi="仿宋" w:eastAsia="仿宋" w:cs="仿宋"/>
          <w:spacing w:val="-3"/>
          <w:sz w:val="32"/>
          <w:szCs w:val="32"/>
        </w:rPr>
        <w:t>工作部署要求，</w:t>
      </w:r>
      <w:r>
        <w:rPr>
          <w:rFonts w:hint="eastAsia" w:ascii="仿宋" w:hAnsi="仿宋" w:eastAsia="仿宋" w:cs="仿宋"/>
          <w:spacing w:val="16"/>
          <w:sz w:val="32"/>
          <w:szCs w:val="32"/>
          <w:lang w:val="en-US" w:eastAsia="zh-CN"/>
        </w:rPr>
        <w:t>根据</w:t>
      </w:r>
      <w:r>
        <w:rPr>
          <w:rFonts w:ascii="仿宋" w:hAnsi="仿宋" w:eastAsia="仿宋" w:cs="仿宋"/>
          <w:spacing w:val="4"/>
          <w:sz w:val="32"/>
          <w:szCs w:val="32"/>
        </w:rPr>
        <w:t>省教育厅</w:t>
      </w:r>
      <w:r>
        <w:rPr>
          <w:rFonts w:hint="eastAsia" w:ascii="仿宋" w:hAnsi="仿宋" w:eastAsia="仿宋" w:cs="仿宋"/>
          <w:spacing w:val="4"/>
          <w:sz w:val="32"/>
          <w:szCs w:val="32"/>
          <w:lang w:eastAsia="zh-CN"/>
        </w:rPr>
        <w:t>《全</w:t>
      </w:r>
      <w:r>
        <w:rPr>
          <w:rFonts w:hint="eastAsia" w:ascii="仿宋" w:hAnsi="仿宋" w:eastAsia="仿宋" w:cs="仿宋"/>
          <w:spacing w:val="4"/>
          <w:sz w:val="32"/>
          <w:szCs w:val="32"/>
          <w:lang w:val="en-US" w:eastAsia="zh-CN"/>
        </w:rPr>
        <w:t>省</w:t>
      </w:r>
      <w:r>
        <w:rPr>
          <w:rFonts w:hint="eastAsia" w:ascii="仿宋" w:hAnsi="仿宋" w:eastAsia="仿宋" w:cs="仿宋"/>
          <w:spacing w:val="4"/>
          <w:sz w:val="32"/>
          <w:szCs w:val="32"/>
          <w:lang w:eastAsia="zh-CN"/>
        </w:rPr>
        <w:t>教育系统消防安全集中除患攻坚大整治行动方案》、</w:t>
      </w:r>
      <w:r>
        <w:rPr>
          <w:rFonts w:hint="eastAsia" w:ascii="仿宋" w:hAnsi="仿宋" w:eastAsia="仿宋" w:cs="仿宋"/>
          <w:spacing w:val="4"/>
          <w:sz w:val="32"/>
          <w:szCs w:val="32"/>
          <w:lang w:val="en-US" w:eastAsia="zh-CN"/>
        </w:rPr>
        <w:t>市教育局《全市教育系统消防安全集中除患攻坚大整治专项行动工作方案》通知要求，</w:t>
      </w:r>
      <w:r>
        <w:rPr>
          <w:rFonts w:ascii="仿宋" w:hAnsi="仿宋" w:eastAsia="仿宋" w:cs="仿宋"/>
          <w:spacing w:val="4"/>
          <w:sz w:val="32"/>
          <w:szCs w:val="32"/>
        </w:rPr>
        <w:t>决定从即日起至</w:t>
      </w:r>
      <w:r>
        <w:rPr>
          <w:rFonts w:ascii="仿宋" w:hAnsi="仿宋" w:eastAsia="仿宋" w:cs="仿宋"/>
          <w:spacing w:val="-59"/>
          <w:sz w:val="32"/>
          <w:szCs w:val="32"/>
        </w:rPr>
        <w:t xml:space="preserve"> </w:t>
      </w:r>
      <w:r>
        <w:rPr>
          <w:rFonts w:hint="eastAsia" w:ascii="仿宋" w:hAnsi="仿宋" w:eastAsia="仿宋" w:cs="仿宋"/>
          <w:spacing w:val="4"/>
          <w:sz w:val="32"/>
          <w:szCs w:val="32"/>
        </w:rPr>
        <w:t>3</w:t>
      </w:r>
      <w:r>
        <w:rPr>
          <w:rFonts w:ascii="仿宋" w:hAnsi="仿宋" w:eastAsia="仿宋" w:cs="仿宋"/>
          <w:spacing w:val="4"/>
          <w:sz w:val="32"/>
          <w:szCs w:val="32"/>
        </w:rPr>
        <w:t>月底，在</w:t>
      </w:r>
      <w:r>
        <w:rPr>
          <w:rFonts w:hint="eastAsia" w:ascii="仿宋" w:hAnsi="仿宋" w:eastAsia="仿宋" w:cs="仿宋"/>
          <w:spacing w:val="4"/>
          <w:sz w:val="32"/>
          <w:szCs w:val="32"/>
          <w:lang w:val="en-US" w:eastAsia="zh-CN"/>
        </w:rPr>
        <w:t>园区</w:t>
      </w:r>
      <w:r>
        <w:rPr>
          <w:rFonts w:ascii="仿宋" w:hAnsi="仿宋" w:eastAsia="仿宋" w:cs="仿宋"/>
          <w:spacing w:val="4"/>
          <w:sz w:val="32"/>
          <w:szCs w:val="32"/>
        </w:rPr>
        <w:t>教育系统组</w:t>
      </w:r>
      <w:r>
        <w:rPr>
          <w:rFonts w:ascii="仿宋" w:hAnsi="仿宋" w:eastAsia="仿宋" w:cs="仿宋"/>
          <w:spacing w:val="3"/>
          <w:sz w:val="32"/>
          <w:szCs w:val="32"/>
        </w:rPr>
        <w:t>织开展消防</w:t>
      </w:r>
      <w:r>
        <w:rPr>
          <w:rFonts w:ascii="仿宋" w:hAnsi="仿宋" w:eastAsia="仿宋" w:cs="仿宋"/>
          <w:spacing w:val="8"/>
          <w:sz w:val="32"/>
          <w:szCs w:val="32"/>
        </w:rPr>
        <w:t>安全集中除患攻坚大整治</w:t>
      </w:r>
      <w:r>
        <w:rPr>
          <w:rFonts w:hint="eastAsia" w:ascii="仿宋" w:hAnsi="仿宋" w:eastAsia="仿宋" w:cs="仿宋"/>
          <w:spacing w:val="8"/>
          <w:sz w:val="32"/>
          <w:szCs w:val="32"/>
          <w:lang w:val="en-US" w:eastAsia="zh-CN"/>
        </w:rPr>
        <w:t>专项</w:t>
      </w:r>
      <w:r>
        <w:rPr>
          <w:rFonts w:ascii="仿宋" w:hAnsi="仿宋" w:eastAsia="仿宋" w:cs="仿宋"/>
          <w:spacing w:val="8"/>
          <w:sz w:val="32"/>
          <w:szCs w:val="32"/>
        </w:rPr>
        <w:t>行动。具体</w:t>
      </w:r>
      <w:r>
        <w:rPr>
          <w:rFonts w:hint="eastAsia" w:ascii="仿宋" w:hAnsi="仿宋" w:eastAsia="仿宋" w:cs="仿宋"/>
          <w:spacing w:val="8"/>
          <w:sz w:val="32"/>
          <w:szCs w:val="32"/>
          <w:lang w:val="en-US" w:eastAsia="zh-CN"/>
        </w:rPr>
        <w:t>工作</w:t>
      </w:r>
      <w:r>
        <w:rPr>
          <w:rFonts w:ascii="仿宋" w:hAnsi="仿宋" w:eastAsia="仿宋" w:cs="仿宋"/>
          <w:spacing w:val="8"/>
          <w:sz w:val="32"/>
          <w:szCs w:val="32"/>
        </w:rPr>
        <w:t>方案如下：</w:t>
      </w:r>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一、目标任务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坚持“两个至上”、立足“两个根本”，紧盯重点领域、聚焦关键环节，精准发力、重拳除患，多措并举、综合施策，切实提高消防安全重大风险隐患排查整改质量，切实提高发现问题和解决问题的强烈意愿和能力水平，全力防范化解重大安全风险。通过开展集中大排查、大整治、大曝光、大演练、大约谈、大督导等“六个集中行动”，全面排查各级各类学校、校外培训机构突出风险隐患，严格落实重点整治要求，切实压实火灾防范责任，全力防范火灾事故发生。</w:t>
      </w:r>
    </w:p>
    <w:p>
      <w:pPr>
        <w:keepNext w:val="0"/>
        <w:keepLines w:val="0"/>
        <w:pageBreakBefore w:val="0"/>
        <w:widowControl w:val="0"/>
        <w:kinsoku/>
        <w:wordWrap/>
        <w:overflowPunct/>
        <w:topLinePunct w:val="0"/>
        <w:autoSpaceDE/>
        <w:autoSpaceDN/>
        <w:bidi w:val="0"/>
        <w:adjustRightInd w:val="0"/>
        <w:snapToGrid w:val="0"/>
        <w:spacing w:line="570" w:lineRule="exact"/>
        <w:ind w:firstLine="641"/>
        <w:textAlignment w:val="auto"/>
        <w:rPr>
          <w:rFonts w:hint="eastAsia" w:ascii="黑体" w:hAnsi="黑体" w:eastAsia="黑体" w:cs="黑体"/>
          <w:sz w:val="32"/>
          <w:szCs w:val="32"/>
        </w:rPr>
      </w:pPr>
      <w:r>
        <w:rPr>
          <w:rFonts w:hint="eastAsia" w:ascii="黑体" w:hAnsi="黑体" w:eastAsia="黑体" w:cs="黑体"/>
          <w:sz w:val="32"/>
          <w:szCs w:val="32"/>
        </w:rPr>
        <w:t>二、整治范围</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园区</w:t>
      </w:r>
      <w:r>
        <w:rPr>
          <w:rFonts w:hint="eastAsia" w:ascii="仿宋" w:hAnsi="仿宋" w:eastAsia="仿宋" w:cs="仿宋"/>
          <w:sz w:val="32"/>
          <w:szCs w:val="32"/>
        </w:rPr>
        <w:t>各级各类学校、校外培训机构</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lang w:val="en-US" w:eastAsia="zh-CN"/>
        </w:rPr>
        <w:t>场所</w:t>
      </w:r>
      <w:r>
        <w:rPr>
          <w:rFonts w:hint="eastAsia" w:ascii="仿宋" w:hAnsi="仿宋" w:eastAsia="仿宋" w:cs="仿宋"/>
          <w:spacing w:val="6"/>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三、整治重点</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结合“生命至上，隐患必除”消防安全专项行动，按照《省教育厅省消防救援总队关于汲取河南省南阳市重大火灾事故教训进一步做好学校消防安全工作的通知》《省教育厅等六部门关于转发〈校外培训机构消防安全管理九项规定〉的通知》等要求，紧盯宿舍、教学楼、食堂、实验室（实习实训基地）、体育场馆、建筑工地、校外培训场所等重点部位，集中整治以下重点问题：</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（一）消防安全管理措施落实不到位</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1.消防安全责任人、管理人、消防工作管理部门（具体工作人员）及其职责不明确，消防安全管理制度不健全，未逐级按岗位建立消防安全责任制。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2.消防安全责任人、管理人不知晓消防安全职责，对本单位主要风险区域的相关火灾风险掌握不清；实验室、图书馆、计算机房、食堂、宿舍等重点部位责任人不清楚相应场所的消防安全管理要求。</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3.消防巡查检查、隐患整改等工作记录不及时、不齐全，火灾隐患整改未落实“闭环”管理要求。</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4.设有消防控制室的学校，未落实双人持证值班要求；进行电气安装、维护的电工未取得相应资质。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（二）火灾风险源管控不严格</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存在未经审批施工作业、无证施工作业、违规拆除作业、违规层层转包施工作业、未落实作业安全措施冒险作业；施工现场违规使用明火或者电焊、气焊作业，动火、电焊、气焊作业人员未持证上岗，电焊、气焊作业未办理动火审批手续，作业现场未采取相应的消防安全措施；施工现场动火动焊作业、带火花作业与具有火灾、爆炸风险作业交叉进行；校内建筑采用彩钢板尤其是易燃可燃夹芯彩钢板搭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2.电气线路存在线路老化、绝缘层破损、线路受潮、水浸等问题，存在过热、烧损、熔焊、电腐蚀等痕迹，未按要求安装使用漏电保护装置、防雷击保护装置。</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3.电动自行车、电瓶车、电动平衡车等使用蓄电池的交通工具违规在室内、楼梯间、公共走道、门厅等部位</w:t>
      </w:r>
      <w:r>
        <w:rPr>
          <w:rFonts w:hint="eastAsia" w:ascii="仿宋" w:hAnsi="仿宋" w:eastAsia="仿宋" w:cs="仿宋"/>
          <w:sz w:val="32"/>
          <w:szCs w:val="32"/>
          <w:lang w:val="en-US" w:eastAsia="zh-CN"/>
        </w:rPr>
        <w:t>违规</w:t>
      </w:r>
      <w:r>
        <w:rPr>
          <w:rFonts w:hint="eastAsia" w:ascii="仿宋" w:hAnsi="仿宋" w:eastAsia="仿宋" w:cs="仿宋"/>
          <w:sz w:val="32"/>
          <w:szCs w:val="32"/>
        </w:rPr>
        <w:t>停放和充电，违规将蓄电池带至室内充电。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4.对携带火种及违规吸烟等行为的检查和监管不力；违规设置明火设施，违规使用、储存火灾危险性为甲、乙类的物品；违规使用瓶装液化石油气、小型液化气炉、油气炉等其他甲、乙类液体燃料。</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（三）安全疏散条件不足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1.占用、堵塞、封闭疏散通道、安全出口和消防车通道。</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2.安全出口和疏散楼梯数量不足、宽度不够。</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3.应急广播、应急照明、疏散指示标志缺失、损坏。</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4.人员密集场所在门窗上设置影响逃生和灭火救援的防盗网、铁栅栏、广告牌等障碍物。</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5.未结合实际制定灭火和应急疏散预案，师生、宿管员不掌握初起火灾扑救和组织疏散逃生技能。</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6.共用区域未明确责任人对共用的疏散通道、安全出口进行统一管理。</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（四）重点场所及部位管理不力</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学生宿舍，面积、人数不符合《中小学设计规范》（GB50099-2011）、《农村寄宿制学校生活卫生设施建设与管理规范》（教体艺〔2011〕5号）要求；私自接拉电线、使用电炉、电取暖、热得快等大功率电器设备，每间宿舍未设置用电过载保护装置；违规采用电暖器、电热毯取暖；违规使用蜡烛、酒精炉等明火器具；宿舍值班室未配置灭火器、喊话器、消防过滤式自救呼吸器、对讲机等消防器材；寄宿制学校、幼儿园未按要求至少每两小时组织开展一次夜间防火巡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实验室（实习实训基地），重要危险源未配备专职或兼职管理人员；安全信息牌内容不全面；燃烧、腐蚀等风险的区域未按要求配备应急喷淋和洗眼设备，应急喷淋进水阀未设为常开状态；气瓶、气瓶柜、排风、检测报警装置未正常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计算机房，未设置禁止吸烟、禁止使用明火、禁止使用电炉和生活用电加热器等明显标志；存放腐蚀性物品、易燃易爆品和其他引起安全隐患的物品；未严格控制维修机器使用的酒精、丙酮等易燃溶剂；存在使用易燃易爆品擦拭、清洗带电设备等行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4.图书馆，未设置禁止吸烟、禁止携带易燃易爆危险品入内以及防火标志；管理人员下班，未及时关好门窗、关闭电灯开关及电器设备。</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食堂，厨房未与其他区域采取防火分隔措施；燃气管道、连接软管、法兰接头、仪表、阀门存在破损、泄漏和老化现象；未规范安装、使用可燃气体探测器及燃气紧切断阀；违规使用“环保油”等醇基燃料；炉具未定期检测和保养；液化石油气钢瓶未定期检测，存在存放气瓶总重量超过100kg但未设置专用气瓶间、在用气瓶和备用气瓶未分开放置，连接软管长度超过2米、私接“三通”或穿越墙体、门窗、顶棚和地面等违规情况。</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四、整治措施</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kern w:val="0"/>
          <w:sz w:val="32"/>
          <w:szCs w:val="32"/>
        </w:rPr>
      </w:pPr>
      <w:r>
        <w:rPr>
          <w:rFonts w:hint="eastAsia" w:ascii="楷体" w:hAnsi="楷体" w:eastAsia="楷体" w:cs="楷体"/>
          <w:kern w:val="0"/>
          <w:sz w:val="32"/>
          <w:szCs w:val="32"/>
        </w:rPr>
        <w:t>（一）集中开展大排查行动。</w:t>
      </w:r>
      <w:r>
        <w:rPr>
          <w:rFonts w:hint="eastAsia" w:ascii="仿宋" w:hAnsi="仿宋" w:eastAsia="仿宋" w:cs="仿宋"/>
          <w:sz w:val="32"/>
          <w:szCs w:val="32"/>
        </w:rPr>
        <w:t>各</w:t>
      </w:r>
      <w:r>
        <w:rPr>
          <w:rFonts w:hint="eastAsia" w:ascii="仿宋" w:hAnsi="仿宋" w:eastAsia="仿宋" w:cs="仿宋"/>
          <w:sz w:val="32"/>
          <w:szCs w:val="32"/>
          <w:lang w:val="en-US" w:eastAsia="zh-CN"/>
        </w:rPr>
        <w:t>单位</w:t>
      </w:r>
      <w:r>
        <w:rPr>
          <w:rFonts w:hint="eastAsia" w:ascii="仿宋" w:hAnsi="仿宋" w:eastAsia="仿宋" w:cs="仿宋"/>
          <w:sz w:val="32"/>
          <w:szCs w:val="32"/>
        </w:rPr>
        <w:t>要</w:t>
      </w:r>
      <w:r>
        <w:rPr>
          <w:rFonts w:hint="eastAsia" w:ascii="仿宋" w:hAnsi="仿宋" w:eastAsia="仿宋" w:cs="仿宋"/>
          <w:sz w:val="32"/>
          <w:szCs w:val="32"/>
          <w:lang w:val="en-US" w:eastAsia="zh-CN"/>
        </w:rPr>
        <w:t>在收到本通知后第一时间</w:t>
      </w:r>
      <w:r>
        <w:rPr>
          <w:rFonts w:hint="eastAsia" w:ascii="仿宋" w:hAnsi="仿宋" w:eastAsia="仿宋" w:cs="仿宋"/>
          <w:sz w:val="32"/>
          <w:szCs w:val="32"/>
        </w:rPr>
        <w:t>发布、张贴省安委会办公室、省消委会办公室统一制作的关于开展消防安全集中除患攻坚大整治行动的通告（附件3），围绕整治重点，根据《三类重点场所消防安全整治指南》（附件4）</w:t>
      </w:r>
      <w:r>
        <w:rPr>
          <w:rFonts w:hint="eastAsia" w:ascii="仿宋" w:hAnsi="仿宋" w:eastAsia="仿宋" w:cs="仿宋"/>
          <w:sz w:val="32"/>
          <w:szCs w:val="32"/>
          <w:lang w:val="en-US" w:eastAsia="zh-CN"/>
        </w:rPr>
        <w:t>及苏州市安全生产委员会办公室、苏州市消防安全委员会办公室印发的《关于切实规范多业态商业楼宇消防安全管理的通知》相关要求，各单位要</w:t>
      </w:r>
      <w:r>
        <w:rPr>
          <w:rFonts w:hint="eastAsia" w:ascii="仿宋" w:hAnsi="仿宋" w:eastAsia="仿宋" w:cs="仿宋"/>
          <w:sz w:val="32"/>
          <w:szCs w:val="32"/>
        </w:rPr>
        <w:t>积极组织力量</w:t>
      </w:r>
      <w:r>
        <w:rPr>
          <w:rFonts w:hint="eastAsia" w:ascii="仿宋" w:hAnsi="仿宋" w:eastAsia="仿宋" w:cs="仿宋"/>
          <w:sz w:val="32"/>
          <w:szCs w:val="32"/>
          <w:lang w:val="en-US" w:eastAsia="zh-CN"/>
        </w:rPr>
        <w:t>对学校和校外培训机构（场所）及学校周边、培训机构所在楼宇及周边业态的消防安全</w:t>
      </w:r>
      <w:r>
        <w:rPr>
          <w:rFonts w:hint="eastAsia" w:ascii="仿宋" w:hAnsi="仿宋" w:eastAsia="仿宋" w:cs="仿宋"/>
          <w:sz w:val="32"/>
          <w:szCs w:val="32"/>
        </w:rPr>
        <w:t>开展全覆盖、全要素消防安全风险隐患自查自改，切实摸清安全隐患底数，制订整改措施，落实整改责任，确保隐患整改到位。排查中发现的问题，要及时登记造册（附件1），并由场所责任人、管理人带队签字确认存档备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kern w:val="0"/>
          <w:sz w:val="32"/>
          <w:szCs w:val="32"/>
        </w:rPr>
        <w:t>（二）集中开展大整治行动。</w:t>
      </w:r>
      <w:r>
        <w:rPr>
          <w:rFonts w:hint="eastAsia" w:ascii="仿宋" w:hAnsi="仿宋" w:eastAsia="仿宋" w:cs="仿宋"/>
          <w:sz w:val="32"/>
          <w:szCs w:val="32"/>
          <w:lang w:val="en-US" w:eastAsia="zh-CN"/>
        </w:rPr>
        <w:t>各单位</w:t>
      </w:r>
      <w:r>
        <w:rPr>
          <w:rFonts w:hint="eastAsia" w:ascii="仿宋" w:hAnsi="仿宋" w:eastAsia="仿宋" w:cs="仿宋"/>
          <w:sz w:val="32"/>
          <w:szCs w:val="32"/>
        </w:rPr>
        <w:t>对排查发现的突出风险隐患，要逐条登记、闭环管理，分类施策、逐一销账，</w:t>
      </w:r>
      <w:r>
        <w:rPr>
          <w:rFonts w:hint="eastAsia" w:ascii="仿宋" w:hAnsi="仿宋" w:eastAsia="仿宋" w:cs="仿宋"/>
          <w:sz w:val="32"/>
          <w:szCs w:val="32"/>
          <w:lang w:val="en-US" w:eastAsia="zh-CN"/>
        </w:rPr>
        <w:t>所有排查隐患上报校园安全监管信息化平台，并</w:t>
      </w:r>
      <w:r>
        <w:rPr>
          <w:rFonts w:hint="eastAsia" w:ascii="仿宋" w:hAnsi="仿宋" w:eastAsia="仿宋" w:cs="仿宋"/>
          <w:sz w:val="32"/>
          <w:szCs w:val="32"/>
        </w:rPr>
        <w:t>及时填写《消防安全集中除患攻坚大整治行动排查登记表》（附件2）。对于自身能整改的，要依法督促全部整改；对于难以整改的，要作为攻坚整治对象，明确整改责任及方案，细化整改措施和时限，整改一处，销案一处。对于逾期不改或拒不整改的，要依法从严、从重、从快处理。要坚决整治校园内违规动火动焊施工作业、疏散通道占堵和违规设置铁栅栏等问题，尤其要将畅通疏散通道、安全出口作为此次整治的重中之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（三）集中开展大曝光行动。</w:t>
      </w:r>
      <w:r>
        <w:rPr>
          <w:rFonts w:hint="eastAsia" w:ascii="仿宋" w:hAnsi="仿宋" w:eastAsia="仿宋" w:cs="仿宋"/>
          <w:sz w:val="32"/>
          <w:szCs w:val="32"/>
          <w:lang w:val="en-US" w:eastAsia="zh-CN"/>
        </w:rPr>
        <w:t>园区教育局将</w:t>
      </w:r>
      <w:r>
        <w:rPr>
          <w:rFonts w:hint="eastAsia" w:ascii="仿宋" w:hAnsi="仿宋" w:eastAsia="仿宋" w:cs="仿宋"/>
          <w:sz w:val="32"/>
          <w:szCs w:val="32"/>
        </w:rPr>
        <w:t>集中曝光典型隐患、突出问题和严重违法行为，公布单位名称和具体问题，推动隐患整改。</w:t>
      </w:r>
      <w:r>
        <w:rPr>
          <w:rFonts w:hint="eastAsia" w:ascii="仿宋" w:hAnsi="仿宋" w:eastAsia="仿宋" w:cs="仿宋"/>
          <w:sz w:val="32"/>
          <w:szCs w:val="32"/>
          <w:lang w:val="en-US" w:eastAsia="zh-CN"/>
        </w:rPr>
        <w:t>各单位</w:t>
      </w:r>
      <w:r>
        <w:rPr>
          <w:rFonts w:hint="eastAsia" w:ascii="仿宋" w:hAnsi="仿宋" w:eastAsia="仿宋" w:cs="仿宋"/>
          <w:sz w:val="32"/>
          <w:szCs w:val="32"/>
        </w:rPr>
        <w:t>要加强典型火灾案例警示教育，剖析火灾事故原因教训，提高师生消防安全能力素质；要广泛开展安全用火用电用气、安全燃放烟花爆竹、畅通生命通道、应急疏散逃生等常识宣传，引导师生员工自觉落实“三清三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（四）集中开展大演练行动。</w:t>
      </w:r>
      <w:r>
        <w:rPr>
          <w:rFonts w:hint="eastAsia" w:ascii="仿宋" w:hAnsi="仿宋" w:eastAsia="仿宋" w:cs="仿宋"/>
          <w:sz w:val="32"/>
          <w:szCs w:val="32"/>
          <w:lang w:val="en-US" w:eastAsia="zh-CN"/>
        </w:rPr>
        <w:t>各单位</w:t>
      </w:r>
      <w:r>
        <w:rPr>
          <w:rFonts w:hint="eastAsia" w:ascii="仿宋" w:hAnsi="仿宋" w:eastAsia="仿宋" w:cs="仿宋"/>
          <w:sz w:val="32"/>
          <w:szCs w:val="32"/>
        </w:rPr>
        <w:t>要聚焦宿舍、教学楼、食堂、图书馆、实验室（实习实训基地）、体育场馆等重点场所部位以及校外培训机构，突出教职员工、物业人员、安保员、学生等重点人群以及微型消防站，按照制定演练预案、做好演练准备、组织实施演练、开展复盘评估的方法步骤，积极开展消防安全大演练活动，切实提升人员初起火灾扑救和疏散逃生能力，努力实现人人会逃生、个个会应急。</w:t>
      </w:r>
      <w:r>
        <w:rPr>
          <w:rFonts w:hint="eastAsia" w:ascii="仿宋" w:hAnsi="仿宋" w:eastAsia="仿宋" w:cs="仿宋"/>
          <w:b/>
          <w:bCs/>
          <w:sz w:val="32"/>
          <w:szCs w:val="32"/>
          <w:lang w:val="en-US" w:eastAsia="zh-CN"/>
        </w:rPr>
        <w:t>各单位2024年</w:t>
      </w:r>
      <w:r>
        <w:rPr>
          <w:rFonts w:hint="eastAsia" w:ascii="仿宋" w:hAnsi="仿宋" w:eastAsia="仿宋" w:cs="仿宋"/>
          <w:b/>
          <w:bCs/>
          <w:sz w:val="32"/>
          <w:szCs w:val="32"/>
        </w:rPr>
        <w:t>全年演练计划请于</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23</w:t>
      </w:r>
      <w:r>
        <w:rPr>
          <w:rFonts w:hint="eastAsia" w:ascii="仿宋" w:hAnsi="仿宋" w:eastAsia="仿宋" w:cs="仿宋"/>
          <w:b/>
          <w:bCs/>
          <w:sz w:val="32"/>
          <w:szCs w:val="32"/>
        </w:rPr>
        <w:t>日前</w:t>
      </w:r>
      <w:r>
        <w:rPr>
          <w:rFonts w:hint="eastAsia" w:ascii="仿宋" w:hAnsi="仿宋" w:eastAsia="仿宋" w:cs="仿宋"/>
          <w:b/>
          <w:bCs/>
          <w:sz w:val="32"/>
          <w:szCs w:val="32"/>
          <w:lang w:val="en-US" w:eastAsia="zh-CN"/>
        </w:rPr>
        <w:t>提交</w:t>
      </w:r>
      <w:r>
        <w:rPr>
          <w:rFonts w:hint="eastAsia" w:ascii="仿宋" w:hAnsi="仿宋" w:eastAsia="仿宋" w:cs="仿宋"/>
          <w:b/>
          <w:bCs/>
          <w:sz w:val="32"/>
          <w:szCs w:val="32"/>
          <w:lang w:eastAsia="zh-CN"/>
        </w:rPr>
        <w:t>（</w:t>
      </w: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至校安管理群在线收集表中</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（五）集中开展大约谈行动。</w:t>
      </w:r>
      <w:r>
        <w:rPr>
          <w:rFonts w:hint="eastAsia" w:ascii="仿宋" w:hAnsi="仿宋" w:eastAsia="仿宋" w:cs="仿宋"/>
          <w:sz w:val="32"/>
          <w:szCs w:val="32"/>
          <w:lang w:val="en-US" w:eastAsia="zh-CN"/>
        </w:rPr>
        <w:t>园区教育局将</w:t>
      </w:r>
      <w:r>
        <w:rPr>
          <w:rFonts w:hint="eastAsia" w:ascii="仿宋" w:hAnsi="仿宋" w:eastAsia="仿宋" w:cs="仿宋"/>
          <w:sz w:val="32"/>
          <w:szCs w:val="32"/>
        </w:rPr>
        <w:t>结合大排查、大整治行动，研判学校消防安全风险，发出工作提示函，指出突出风险隐患，提出防范对策措施。对火灾多发区域、问题突出的学校，</w:t>
      </w:r>
      <w:r>
        <w:rPr>
          <w:rFonts w:hint="eastAsia" w:ascii="仿宋" w:hAnsi="仿宋" w:eastAsia="仿宋" w:cs="仿宋"/>
          <w:sz w:val="32"/>
          <w:szCs w:val="32"/>
          <w:lang w:val="en-US" w:eastAsia="zh-CN"/>
        </w:rPr>
        <w:t>将</w:t>
      </w:r>
      <w:r>
        <w:rPr>
          <w:rFonts w:hint="eastAsia" w:ascii="仿宋" w:hAnsi="仿宋" w:eastAsia="仿宋" w:cs="仿宋"/>
          <w:sz w:val="32"/>
          <w:szCs w:val="32"/>
        </w:rPr>
        <w:t>开展约谈工作，发出工作警示函。对隐患整改难度大、火灾风险高的，</w:t>
      </w:r>
      <w:r>
        <w:rPr>
          <w:rFonts w:hint="eastAsia" w:ascii="仿宋" w:hAnsi="仿宋" w:eastAsia="仿宋" w:cs="仿宋"/>
          <w:sz w:val="32"/>
          <w:szCs w:val="32"/>
          <w:lang w:val="en-US" w:eastAsia="zh-CN"/>
        </w:rPr>
        <w:t>将</w:t>
      </w:r>
      <w:r>
        <w:rPr>
          <w:rFonts w:hint="eastAsia" w:ascii="仿宋" w:hAnsi="仿宋" w:eastAsia="仿宋" w:cs="仿宋"/>
          <w:sz w:val="32"/>
          <w:szCs w:val="32"/>
        </w:rPr>
        <w:t>召开隐患整改现场会，讲清责任、讲明风险、讲透危害，督促整改落实。</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（六）集中开展大督导行动。</w:t>
      </w:r>
      <w:r>
        <w:rPr>
          <w:rFonts w:hint="eastAsia" w:ascii="仿宋" w:hAnsi="仿宋" w:eastAsia="仿宋" w:cs="仿宋"/>
          <w:sz w:val="32"/>
          <w:szCs w:val="32"/>
          <w:lang w:val="en-US" w:eastAsia="zh-CN"/>
        </w:rPr>
        <w:t>各单位要</w:t>
      </w:r>
      <w:r>
        <w:rPr>
          <w:rFonts w:hint="eastAsia" w:ascii="仿宋" w:hAnsi="仿宋" w:eastAsia="仿宋" w:cs="仿宋"/>
          <w:sz w:val="32"/>
          <w:szCs w:val="32"/>
        </w:rPr>
        <w:t>严格落实“六个联合”工作要求，抽调骨干力量，会同消防部门</w:t>
      </w:r>
      <w:r>
        <w:rPr>
          <w:rFonts w:hint="eastAsia" w:ascii="仿宋" w:hAnsi="仿宋" w:eastAsia="仿宋" w:cs="仿宋"/>
          <w:sz w:val="32"/>
          <w:szCs w:val="32"/>
          <w:lang w:val="en-US" w:eastAsia="zh-CN"/>
        </w:rPr>
        <w:t>及安全辅导员</w:t>
      </w:r>
      <w:r>
        <w:rPr>
          <w:rFonts w:hint="eastAsia" w:ascii="仿宋" w:hAnsi="仿宋" w:eastAsia="仿宋" w:cs="仿宋"/>
          <w:sz w:val="32"/>
          <w:szCs w:val="32"/>
        </w:rPr>
        <w:t>，组织对学校重点部位、校外培训机构消防安全进行深入督导检查。春季学期开学前，</w:t>
      </w:r>
      <w:r>
        <w:rPr>
          <w:rFonts w:hint="eastAsia" w:ascii="仿宋" w:hAnsi="仿宋" w:eastAsia="仿宋" w:cs="仿宋"/>
          <w:sz w:val="32"/>
          <w:szCs w:val="32"/>
          <w:lang w:val="en-US" w:eastAsia="zh-CN"/>
        </w:rPr>
        <w:t>园区教育局将</w:t>
      </w:r>
      <w:r>
        <w:rPr>
          <w:rFonts w:hint="eastAsia" w:ascii="仿宋" w:hAnsi="仿宋" w:eastAsia="仿宋" w:cs="仿宋"/>
          <w:sz w:val="32"/>
          <w:szCs w:val="32"/>
        </w:rPr>
        <w:t>组织工作组对学校安全工作进行检查督查。省教育厅</w:t>
      </w:r>
      <w:r>
        <w:rPr>
          <w:rFonts w:hint="default" w:ascii="仿宋" w:hAnsi="仿宋" w:eastAsia="仿宋" w:cs="仿宋"/>
          <w:sz w:val="32"/>
          <w:szCs w:val="32"/>
        </w:rPr>
        <w:t>、市教育局</w:t>
      </w:r>
      <w:r>
        <w:rPr>
          <w:rFonts w:hint="eastAsia" w:ascii="仿宋" w:hAnsi="仿宋" w:eastAsia="仿宋" w:cs="仿宋"/>
          <w:sz w:val="32"/>
          <w:szCs w:val="32"/>
        </w:rPr>
        <w:t>将</w:t>
      </w:r>
      <w:r>
        <w:rPr>
          <w:rFonts w:hint="default" w:ascii="仿宋" w:hAnsi="仿宋" w:eastAsia="仿宋" w:cs="仿宋"/>
          <w:sz w:val="32"/>
          <w:szCs w:val="32"/>
        </w:rPr>
        <w:t>以</w:t>
      </w:r>
      <w:r>
        <w:rPr>
          <w:rFonts w:hint="eastAsia" w:ascii="仿宋" w:hAnsi="仿宋" w:eastAsia="仿宋" w:cs="仿宋"/>
          <w:sz w:val="32"/>
          <w:szCs w:val="32"/>
        </w:rPr>
        <w:t>“四不两直”方式，对</w:t>
      </w:r>
      <w:r>
        <w:rPr>
          <w:rFonts w:hint="eastAsia" w:ascii="仿宋" w:hAnsi="仿宋" w:eastAsia="仿宋" w:cs="仿宋"/>
          <w:sz w:val="32"/>
          <w:szCs w:val="32"/>
          <w:lang w:val="en-US" w:eastAsia="zh-CN"/>
        </w:rPr>
        <w:t>各单位</w:t>
      </w:r>
      <w:r>
        <w:rPr>
          <w:rFonts w:hint="eastAsia" w:ascii="仿宋" w:hAnsi="仿宋" w:eastAsia="仿宋" w:cs="仿宋"/>
          <w:sz w:val="32"/>
          <w:szCs w:val="32"/>
        </w:rPr>
        <w:t>自查检查情况，尤其是安全隐患整改情况进行检查督导。</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五、工作步骤</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val="0"/>
          <w:sz w:val="32"/>
          <w:szCs w:val="32"/>
        </w:rPr>
        <w:t>（一）动员部署（2024年2月</w:t>
      </w:r>
      <w:r>
        <w:rPr>
          <w:rFonts w:hint="eastAsia" w:ascii="楷体" w:hAnsi="楷体" w:eastAsia="楷体" w:cs="楷体"/>
          <w:sz w:val="32"/>
          <w:szCs w:val="32"/>
        </w:rPr>
        <w:t>中旬前</w:t>
      </w:r>
      <w:r>
        <w:rPr>
          <w:rFonts w:hint="eastAsia" w:ascii="楷体" w:hAnsi="楷体" w:eastAsia="楷体" w:cs="楷体"/>
          <w:b w:val="0"/>
          <w:bCs w:val="0"/>
          <w:sz w:val="32"/>
          <w:szCs w:val="32"/>
        </w:rPr>
        <w:t>）。</w:t>
      </w:r>
      <w:r>
        <w:rPr>
          <w:rFonts w:hint="eastAsia" w:ascii="仿宋" w:hAnsi="仿宋" w:eastAsia="仿宋" w:cs="仿宋"/>
          <w:sz w:val="32"/>
          <w:szCs w:val="32"/>
          <w:lang w:val="en-US" w:eastAsia="zh-CN"/>
        </w:rPr>
        <w:t>各单位</w:t>
      </w:r>
      <w:r>
        <w:rPr>
          <w:rFonts w:hint="eastAsia" w:ascii="仿宋" w:hAnsi="仿宋" w:eastAsia="仿宋" w:cs="仿宋"/>
          <w:sz w:val="32"/>
          <w:szCs w:val="32"/>
        </w:rPr>
        <w:t>要结合实际细化除患攻坚大整治行动方案，明确整治范围和整治重点，细化任务分工和工作责任，作出专题部署发动。要向师生广泛发布消防安全大整治通告，形成强大除患攻坚声势。</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（二）除患攻坚（2024年3月中旬前）。</w:t>
      </w:r>
      <w:r>
        <w:rPr>
          <w:rFonts w:hint="eastAsia" w:ascii="仿宋" w:hAnsi="仿宋" w:eastAsia="仿宋" w:cs="仿宋"/>
          <w:sz w:val="32"/>
          <w:szCs w:val="32"/>
          <w:lang w:val="en-US" w:eastAsia="zh-CN"/>
        </w:rPr>
        <w:t>各单位</w:t>
      </w:r>
      <w:r>
        <w:rPr>
          <w:rFonts w:hint="eastAsia" w:ascii="仿宋" w:hAnsi="仿宋" w:eastAsia="仿宋" w:cs="仿宋"/>
          <w:sz w:val="32"/>
          <w:szCs w:val="32"/>
        </w:rPr>
        <w:t>要按照除患攻坚大整治行动部署，集中开展大排查、大整治、大曝光、大演练、大约谈、大督导“六个集中行动”，全面排查消防安全突出风险隐患，严格落实整治重点要求，确保除患攻坚大整治行动取得实效。</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（三）验收评估（2024年3月底前）。</w:t>
      </w:r>
      <w:r>
        <w:rPr>
          <w:rFonts w:hint="eastAsia" w:ascii="仿宋" w:hAnsi="仿宋" w:eastAsia="仿宋" w:cs="仿宋"/>
          <w:sz w:val="32"/>
          <w:szCs w:val="32"/>
          <w:lang w:val="en-US" w:eastAsia="zh-CN"/>
        </w:rPr>
        <w:t>各单位</w:t>
      </w:r>
      <w:r>
        <w:rPr>
          <w:rFonts w:hint="eastAsia" w:ascii="仿宋" w:hAnsi="仿宋" w:eastAsia="仿宋" w:cs="仿宋"/>
          <w:sz w:val="32"/>
          <w:szCs w:val="32"/>
        </w:rPr>
        <w:t>要组织对除患攻坚大整治行动进行验收评估，总结成效，通报问题。验收不合格的，要进行重点督办，责成重新组织开展除患攻坚大整治行动。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六、工作要求</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（一）强化组织领导。</w:t>
      </w:r>
      <w:r>
        <w:rPr>
          <w:rFonts w:hint="eastAsia" w:ascii="仿宋" w:hAnsi="仿宋" w:eastAsia="仿宋" w:cs="仿宋"/>
          <w:sz w:val="32"/>
          <w:szCs w:val="32"/>
          <w:lang w:val="en-US" w:eastAsia="zh-CN"/>
        </w:rPr>
        <w:t>各单位</w:t>
      </w:r>
      <w:r>
        <w:rPr>
          <w:rFonts w:hint="eastAsia" w:ascii="仿宋" w:hAnsi="仿宋" w:eastAsia="仿宋" w:cs="仿宋"/>
          <w:sz w:val="32"/>
          <w:szCs w:val="32"/>
        </w:rPr>
        <w:t>要坚决贯彻落实习近平总书记重要指示精神，进一步树牢安全发展理念，强化风险意识，坚持底线思维，层层抓好除患攻坚大整治行动。要加强组织领导、指挥调度，压紧压实各级各部门各单位责任，采取各项有效措施，认真排查风险隐患，狠抓大整治工作质效，坚决防止各类火灾事故发生，确保师生生命财产安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（二）强化统筹推进。</w:t>
      </w:r>
      <w:r>
        <w:rPr>
          <w:rFonts w:hint="eastAsia" w:ascii="仿宋" w:hAnsi="仿宋" w:eastAsia="仿宋" w:cs="仿宋"/>
          <w:sz w:val="32"/>
          <w:szCs w:val="32"/>
          <w:lang w:val="en-US" w:eastAsia="zh-CN"/>
        </w:rPr>
        <w:t>各单位</w:t>
      </w:r>
      <w:r>
        <w:rPr>
          <w:rFonts w:hint="eastAsia" w:ascii="仿宋" w:hAnsi="仿宋" w:eastAsia="仿宋" w:cs="仿宋"/>
          <w:sz w:val="32"/>
          <w:szCs w:val="32"/>
        </w:rPr>
        <w:t>要将除患攻坚大整治行动与消防安全治本攻坚三年行动、寒假安全工作、全国两会安保工作等重点任务有效结合、同步推进，强化系统治理、综合治理、源头治理、依法治理。要立即组织开展一次全面的安全风险评估，找准隐患问题集中的重点领域、敏感场所、薄弱环节，采取精准有力措施，全力维护学校消防安全形势平稳。</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（三）强化监督问效。</w:t>
      </w:r>
      <w:r>
        <w:rPr>
          <w:rFonts w:hint="eastAsia" w:ascii="仿宋" w:hAnsi="仿宋" w:eastAsia="仿宋" w:cs="仿宋"/>
          <w:sz w:val="32"/>
          <w:szCs w:val="32"/>
          <w:lang w:val="en-US" w:eastAsia="zh-CN"/>
        </w:rPr>
        <w:t>园区教育局</w:t>
      </w:r>
      <w:r>
        <w:rPr>
          <w:rFonts w:hint="eastAsia" w:ascii="仿宋" w:hAnsi="仿宋" w:eastAsia="仿宋" w:cs="仿宋"/>
          <w:sz w:val="32"/>
          <w:szCs w:val="32"/>
        </w:rPr>
        <w:t>将除患攻坚大整治行动纳入日常督导检查内容，加强过程监管和责任追究。对存在违法行为的单位和个人，要严格依法查处。发现行动迟缓、工作敷衍的，查不出问题、发现问题不处理的，要通报批评、整改督办，问题严重的严肃追责问责。除患攻坚大整治行动期间，发生群死群伤火灾事故的，依规依纪依法严肃追究处理相关责任人员。</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各单位</w:t>
      </w:r>
      <w:r>
        <w:rPr>
          <w:rFonts w:hint="eastAsia" w:ascii="仿宋" w:hAnsi="仿宋" w:eastAsia="仿宋" w:cs="仿宋"/>
          <w:sz w:val="32"/>
          <w:szCs w:val="32"/>
        </w:rPr>
        <w:t>要统筹推进除患攻坚大整治行动，及时将有关情况报送</w:t>
      </w:r>
      <w:r>
        <w:rPr>
          <w:rFonts w:hint="eastAsia" w:ascii="仿宋" w:hAnsi="仿宋" w:eastAsia="仿宋" w:cs="仿宋"/>
          <w:sz w:val="32"/>
          <w:szCs w:val="32"/>
          <w:lang w:val="en-US" w:eastAsia="zh-CN"/>
        </w:rPr>
        <w:t>园区教育局</w:t>
      </w:r>
      <w:r>
        <w:rPr>
          <w:rFonts w:hint="eastAsia" w:ascii="仿宋" w:hAnsi="仿宋" w:eastAsia="仿宋" w:cs="仿宋"/>
          <w:sz w:val="32"/>
          <w:szCs w:val="32"/>
        </w:rPr>
        <w:t>，2月部署开展</w:t>
      </w:r>
      <w:r>
        <w:rPr>
          <w:rFonts w:hint="eastAsia" w:ascii="仿宋" w:hAnsi="仿宋" w:eastAsia="仿宋" w:cs="仿宋"/>
          <w:sz w:val="32"/>
          <w:szCs w:val="32"/>
          <w:lang w:val="en-US" w:eastAsia="zh-CN"/>
        </w:rPr>
        <w:t>相关工作</w:t>
      </w:r>
      <w:r>
        <w:rPr>
          <w:rFonts w:hint="eastAsia" w:ascii="仿宋" w:hAnsi="仿宋" w:eastAsia="仿宋" w:cs="仿宋"/>
          <w:sz w:val="32"/>
          <w:szCs w:val="32"/>
        </w:rPr>
        <w:t>，2月</w:t>
      </w:r>
      <w:r>
        <w:rPr>
          <w:rFonts w:hint="eastAsia" w:ascii="仿宋" w:hAnsi="仿宋" w:eastAsia="仿宋" w:cs="仿宋"/>
          <w:sz w:val="32"/>
          <w:szCs w:val="32"/>
          <w:lang w:val="en-US" w:eastAsia="zh-CN"/>
        </w:rPr>
        <w:t>23日</w:t>
      </w:r>
      <w:r>
        <w:rPr>
          <w:rFonts w:hint="eastAsia" w:ascii="仿宋" w:hAnsi="仿宋" w:eastAsia="仿宋" w:cs="仿宋"/>
          <w:sz w:val="32"/>
          <w:szCs w:val="32"/>
        </w:rPr>
        <w:t>前报送</w:t>
      </w:r>
      <w:r>
        <w:rPr>
          <w:rFonts w:hint="eastAsia" w:ascii="仿宋" w:hAnsi="仿宋" w:eastAsia="仿宋" w:cs="仿宋"/>
          <w:sz w:val="32"/>
          <w:szCs w:val="32"/>
          <w:lang w:val="en-US" w:eastAsia="zh-CN"/>
        </w:rPr>
        <w:t>单位</w:t>
      </w:r>
      <w:r>
        <w:rPr>
          <w:rFonts w:hint="eastAsia" w:ascii="仿宋" w:hAnsi="仿宋" w:eastAsia="仿宋" w:cs="仿宋"/>
          <w:sz w:val="32"/>
          <w:szCs w:val="32"/>
        </w:rPr>
        <w:t>工作</w:t>
      </w:r>
      <w:r>
        <w:rPr>
          <w:rFonts w:hint="eastAsia" w:ascii="仿宋" w:hAnsi="仿宋" w:eastAsia="仿宋" w:cs="仿宋"/>
          <w:sz w:val="32"/>
          <w:szCs w:val="32"/>
          <w:lang w:val="en-US" w:eastAsia="zh-CN"/>
        </w:rPr>
        <w:t>部署开展情况</w:t>
      </w:r>
      <w:r>
        <w:rPr>
          <w:rFonts w:hint="eastAsia" w:ascii="仿宋" w:hAnsi="仿宋" w:eastAsia="仿宋" w:cs="仿宋"/>
          <w:sz w:val="32"/>
          <w:szCs w:val="32"/>
        </w:rPr>
        <w:t>，3月</w:t>
      </w:r>
      <w:r>
        <w:rPr>
          <w:rFonts w:hint="eastAsia" w:ascii="仿宋" w:hAnsi="仿宋" w:eastAsia="仿宋" w:cs="仿宋"/>
          <w:sz w:val="32"/>
          <w:szCs w:val="32"/>
          <w:lang w:val="en-US" w:eastAsia="zh-CN"/>
        </w:rPr>
        <w:t>20日</w:t>
      </w:r>
      <w:r>
        <w:rPr>
          <w:rFonts w:hint="eastAsia" w:ascii="仿宋" w:hAnsi="仿宋" w:eastAsia="仿宋" w:cs="仿宋"/>
          <w:sz w:val="32"/>
          <w:szCs w:val="32"/>
        </w:rPr>
        <w:t>前报送工作总结，重要情况及时报送。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徐建宝</w:t>
      </w:r>
      <w:r>
        <w:rPr>
          <w:rFonts w:hint="eastAsia" w:ascii="仿宋" w:hAnsi="仿宋" w:eastAsia="仿宋" w:cs="仿宋"/>
          <w:sz w:val="32"/>
          <w:szCs w:val="32"/>
          <w:lang w:eastAsia="zh-CN"/>
        </w:rPr>
        <w:t>；</w:t>
      </w:r>
      <w:r>
        <w:rPr>
          <w:rFonts w:hint="eastAsia" w:ascii="仿宋" w:hAnsi="仿宋" w:eastAsia="仿宋" w:cs="仿宋"/>
          <w:sz w:val="32"/>
          <w:szCs w:val="32"/>
        </w:rPr>
        <w:t>联系电话：</w:t>
      </w:r>
      <w:r>
        <w:rPr>
          <w:rFonts w:hint="eastAsia" w:ascii="仿宋" w:hAnsi="仿宋" w:eastAsia="仿宋" w:cs="仿宋"/>
          <w:sz w:val="32"/>
          <w:szCs w:val="32"/>
          <w:lang w:val="en-US" w:eastAsia="zh-CN"/>
        </w:rPr>
        <w:t>0512-66681148</w:t>
      </w:r>
      <w:r>
        <w:rPr>
          <w:rFonts w:hint="eastAsia" w:ascii="仿宋" w:hAnsi="仿宋" w:eastAsia="仿宋" w:cs="仿宋"/>
          <w:sz w:val="32"/>
          <w:szCs w:val="32"/>
        </w:rPr>
        <w:t>；</w:t>
      </w:r>
      <w:r>
        <w:rPr>
          <w:rFonts w:hint="eastAsia" w:ascii="仿宋" w:hAnsi="仿宋" w:eastAsia="仿宋" w:cs="仿宋"/>
          <w:sz w:val="32"/>
          <w:szCs w:val="32"/>
          <w:lang w:val="en-US" w:eastAsia="zh-CN"/>
        </w:rPr>
        <w:t>邮箱：xujianbao1@gov.ac.cn</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FF0000"/>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附件：1.消防安全集中除患攻坚大整治行动自查表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2.消防安全集中除患攻坚大整治行动排查登记表</w:t>
      </w:r>
    </w:p>
    <w:p>
      <w:pPr>
        <w:keepNext w:val="0"/>
        <w:keepLines w:val="0"/>
        <w:pageBreakBefore w:val="0"/>
        <w:widowControl w:val="0"/>
        <w:kinsoku/>
        <w:wordWrap/>
        <w:overflowPunct/>
        <w:topLinePunct w:val="0"/>
        <w:autoSpaceDE/>
        <w:autoSpaceDN/>
        <w:bidi w:val="0"/>
        <w:adjustRightInd w:val="0"/>
        <w:snapToGrid w:val="0"/>
        <w:spacing w:line="570" w:lineRule="exact"/>
        <w:ind w:left="1920" w:hanging="1920" w:hangingChars="6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3.江苏省安委会办公室 江苏省消委会办公室关于开展消防安全集中除患攻坚大整治行动的通告</w:t>
      </w:r>
    </w:p>
    <w:p>
      <w:pPr>
        <w:keepNext w:val="0"/>
        <w:keepLines w:val="0"/>
        <w:pageBreakBefore w:val="0"/>
        <w:widowControl w:val="0"/>
        <w:kinsoku/>
        <w:wordWrap/>
        <w:overflowPunct/>
        <w:topLinePunct w:val="0"/>
        <w:autoSpaceDE/>
        <w:autoSpaceDN/>
        <w:bidi w:val="0"/>
        <w:adjustRightInd w:val="0"/>
        <w:snapToGrid w:val="0"/>
        <w:spacing w:line="57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4.三类重点场所消防安全整治指南</w:t>
      </w:r>
    </w:p>
    <w:p>
      <w:pPr>
        <w:keepNext w:val="0"/>
        <w:keepLines w:val="0"/>
        <w:pageBreakBefore w:val="0"/>
        <w:widowControl w:val="0"/>
        <w:kinsoku/>
        <w:wordWrap/>
        <w:overflowPunct/>
        <w:topLinePunct w:val="0"/>
        <w:autoSpaceDE/>
        <w:autoSpaceDN/>
        <w:bidi w:val="0"/>
        <w:adjustRightInd w:val="0"/>
        <w:snapToGrid w:val="0"/>
        <w:spacing w:line="570" w:lineRule="exact"/>
        <w:ind w:firstLine="1600" w:firstLineChars="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5.2024年全年演练计划</w:t>
      </w:r>
    </w:p>
    <w:p>
      <w:pPr>
        <w:adjustRightInd w:val="0"/>
        <w:snapToGrid w:val="0"/>
        <w:spacing w:line="560" w:lineRule="exact"/>
        <w:ind w:firstLine="1600" w:firstLineChars="500"/>
        <w:rPr>
          <w:rFonts w:hint="eastAsia" w:ascii="仿宋" w:hAnsi="仿宋" w:eastAsia="仿宋" w:cs="仿宋"/>
          <w:sz w:val="32"/>
          <w:szCs w:val="32"/>
          <w:lang w:val="en-US" w:eastAsia="zh-CN"/>
        </w:rPr>
      </w:pPr>
    </w:p>
    <w:p>
      <w:pPr>
        <w:rPr>
          <w:rFonts w:ascii="仿宋" w:hAnsi="仿宋" w:eastAsia="仿宋"/>
          <w:sz w:val="32"/>
          <w:szCs w:val="32"/>
        </w:rPr>
        <w:sectPr>
          <w:headerReference r:id="rId4" w:type="first"/>
          <w:footerReference r:id="rId7" w:type="first"/>
          <w:headerReference r:id="rId3" w:type="default"/>
          <w:footerReference r:id="rId5" w:type="default"/>
          <w:footerReference r:id="rId6" w:type="even"/>
          <w:pgSz w:w="11907" w:h="16840"/>
          <w:pgMar w:top="2041" w:right="1417" w:bottom="2041" w:left="1417" w:header="851" w:footer="1587" w:gutter="227"/>
          <w:pgNumType w:fmt="numberInDash"/>
          <w:cols w:space="720" w:num="1"/>
          <w:docGrid w:type="lines" w:linePitch="579" w:charSpace="0"/>
        </w:sectPr>
      </w:pPr>
    </w:p>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pStyle w:val="11"/>
        <w:bidi w:val="0"/>
        <w:rPr>
          <w:rFonts w:hint="eastAsia"/>
          <w:sz w:val="40"/>
          <w:szCs w:val="40"/>
        </w:rPr>
      </w:pPr>
      <w:r>
        <w:rPr>
          <w:rFonts w:hint="eastAsia"/>
          <w:sz w:val="40"/>
          <w:szCs w:val="40"/>
        </w:rPr>
        <w:t>消防安全集中除患攻坚大整治行动自查表</w:t>
      </w:r>
    </w:p>
    <w:p>
      <w:pPr>
        <w:pStyle w:val="4"/>
        <w:bidi w:val="0"/>
        <w:rPr>
          <w:rFonts w:hint="eastAsia"/>
        </w:rPr>
      </w:pPr>
    </w:p>
    <w:p>
      <w:pPr>
        <w:tabs>
          <w:tab w:val="center" w:pos="4535"/>
          <w:tab w:val="left" w:pos="7905"/>
        </w:tabs>
        <w:overflowPunct w:val="0"/>
        <w:topLinePunct/>
        <w:autoSpaceDE w:val="0"/>
        <w:autoSpaceDN w:val="0"/>
        <w:adjustRightInd w:val="0"/>
        <w:snapToGrid w:val="0"/>
        <w:rPr>
          <w:rFonts w:eastAsia="方正小标宋_GBK"/>
          <w:sz w:val="24"/>
          <w:szCs w:val="24"/>
        </w:rPr>
      </w:pPr>
      <w:r>
        <w:rPr>
          <w:rFonts w:hint="eastAsia" w:eastAsia="方正仿宋_GBK"/>
          <w:sz w:val="24"/>
          <w:szCs w:val="24"/>
        </w:rPr>
        <w:t>单位名称（盖章）：</w:t>
      </w:r>
      <w:r>
        <w:rPr>
          <w:rFonts w:eastAsia="方正仿宋_GBK"/>
          <w:sz w:val="24"/>
          <w:szCs w:val="24"/>
        </w:rPr>
        <w:t xml:space="preserve">             </w:t>
      </w:r>
      <w:r>
        <w:rPr>
          <w:rFonts w:hint="eastAsia" w:eastAsia="方正仿宋_GBK"/>
          <w:sz w:val="24"/>
          <w:szCs w:val="24"/>
        </w:rPr>
        <w:t xml:space="preserve"> </w:t>
      </w:r>
      <w:r>
        <w:rPr>
          <w:rFonts w:eastAsia="方正仿宋_GBK"/>
          <w:sz w:val="24"/>
          <w:szCs w:val="24"/>
        </w:rPr>
        <w:t xml:space="preserve">  </w:t>
      </w:r>
      <w:r>
        <w:rPr>
          <w:rFonts w:hint="eastAsia" w:eastAsia="方正仿宋_GBK"/>
          <w:sz w:val="24"/>
          <w:szCs w:val="24"/>
        </w:rPr>
        <w:t>单位法定代表人（签字）：</w:t>
      </w:r>
      <w:r>
        <w:rPr>
          <w:rFonts w:eastAsia="方正仿宋_GBK"/>
          <w:sz w:val="24"/>
          <w:szCs w:val="24"/>
        </w:rPr>
        <w:t xml:space="preserve">                  </w:t>
      </w:r>
    </w:p>
    <w:tbl>
      <w:tblPr>
        <w:tblStyle w:val="6"/>
        <w:tblW w:w="94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
        <w:gridCol w:w="4901"/>
        <w:gridCol w:w="1984"/>
        <w:gridCol w:w="1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blHeader/>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黑体"/>
                <w:sz w:val="22"/>
                <w:szCs w:val="22"/>
              </w:rPr>
            </w:pPr>
            <w:r>
              <w:rPr>
                <w:rFonts w:hint="eastAsia" w:eastAsia="黑体"/>
                <w:sz w:val="22"/>
                <w:szCs w:val="22"/>
              </w:rPr>
              <w:t>隐患类别</w:t>
            </w:r>
          </w:p>
        </w:tc>
        <w:tc>
          <w:tcPr>
            <w:tcW w:w="4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黑体"/>
                <w:sz w:val="22"/>
                <w:szCs w:val="22"/>
              </w:rPr>
            </w:pPr>
            <w:r>
              <w:rPr>
                <w:rFonts w:hint="eastAsia" w:eastAsia="黑体"/>
                <w:sz w:val="22"/>
                <w:szCs w:val="22"/>
              </w:rPr>
              <w:t>检查内容</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黑体"/>
                <w:sz w:val="22"/>
                <w:szCs w:val="22"/>
              </w:rPr>
            </w:pPr>
            <w:r>
              <w:rPr>
                <w:rFonts w:hint="eastAsia" w:eastAsia="黑体"/>
                <w:sz w:val="22"/>
                <w:szCs w:val="22"/>
              </w:rPr>
              <w:t>存在问题</w:t>
            </w:r>
          </w:p>
        </w:tc>
        <w:tc>
          <w:tcPr>
            <w:tcW w:w="173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方正仿宋_GBK"/>
                <w:sz w:val="28"/>
                <w:szCs w:val="28"/>
              </w:rPr>
            </w:pPr>
            <w:r>
              <w:rPr>
                <w:rFonts w:hint="eastAsia" w:eastAsia="黑体"/>
                <w:sz w:val="22"/>
                <w:szCs w:val="22"/>
              </w:rPr>
              <w:t>整改责任、措施、资金、时限、预案落实情况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836" w:type="dxa"/>
            <w:vMerge w:val="restar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方正仿宋_GBK"/>
                <w:sz w:val="21"/>
                <w:szCs w:val="21"/>
              </w:rPr>
            </w:pPr>
            <w:r>
              <w:rPr>
                <w:rFonts w:hint="eastAsia" w:eastAsia="方正仿宋_GBK"/>
                <w:sz w:val="21"/>
                <w:szCs w:val="21"/>
              </w:rPr>
              <w:t>（一）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方正仿宋_GBK"/>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r>
              <w:rPr>
                <w:rFonts w:hint="eastAsia" w:eastAsia="方正仿宋_GBK"/>
                <w:sz w:val="21"/>
                <w:szCs w:val="21"/>
              </w:rPr>
              <w:t>消防安全管理措施落实不到位</w:t>
            </w:r>
          </w:p>
        </w:tc>
        <w:tc>
          <w:tcPr>
            <w:tcW w:w="490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1.</w:t>
            </w:r>
            <w:r>
              <w:rPr>
                <w:rFonts w:hint="eastAsia" w:eastAsia="方正仿宋_GBK"/>
                <w:sz w:val="18"/>
                <w:szCs w:val="18"/>
              </w:rPr>
              <w:t>消防安全责任人、管理人、消防工作管理部门（具体工作人员）及其职责是否明确，消防安全管理制度是否健全，是否逐级按岗位建立消防安全责任制。</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836"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2.</w:t>
            </w:r>
            <w:r>
              <w:rPr>
                <w:rFonts w:hint="eastAsia" w:eastAsia="方正仿宋_GBK"/>
                <w:sz w:val="18"/>
                <w:szCs w:val="18"/>
              </w:rPr>
              <w:t>消防安全责任人、管理人是否知晓消防安全职责，是否掌握本单位主要风险区域的相关火灾风险；实验室、图书馆、计算机房、食堂、宿舍等重点部位责任人是否掌握相应场所的消防安全管理要求。</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836"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3.</w:t>
            </w:r>
            <w:r>
              <w:rPr>
                <w:rFonts w:hint="eastAsia" w:eastAsia="方正仿宋_GBK"/>
                <w:sz w:val="18"/>
                <w:szCs w:val="18"/>
              </w:rPr>
              <w:t>消防巡查检查、隐患整改等工作记录是否及时、齐全，火灾隐患整改是否“闭环”管理。</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836"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4.</w:t>
            </w:r>
            <w:r>
              <w:rPr>
                <w:rFonts w:hint="eastAsia" w:eastAsia="方正仿宋_GBK"/>
                <w:sz w:val="18"/>
                <w:szCs w:val="18"/>
              </w:rPr>
              <w:t>设有消防控制室的学校，是否落实双人持证值班要求；进行电气安装、维护的电工是否取得相应资质。</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836"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方正仿宋_GBK"/>
                <w:sz w:val="21"/>
                <w:szCs w:val="21"/>
              </w:rPr>
            </w:pPr>
            <w:r>
              <w:rPr>
                <w:rFonts w:hint="eastAsia" w:eastAsia="方正仿宋_GBK"/>
                <w:sz w:val="21"/>
                <w:szCs w:val="21"/>
              </w:rPr>
              <w:t>（二）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方正仿宋_GBK"/>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r>
              <w:rPr>
                <w:rFonts w:hint="eastAsia" w:eastAsia="方正仿宋_GBK"/>
                <w:sz w:val="21"/>
                <w:szCs w:val="21"/>
              </w:rPr>
              <w:t>火灾风险源管控不严格</w:t>
            </w:r>
          </w:p>
        </w:tc>
        <w:tc>
          <w:tcPr>
            <w:tcW w:w="490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1.</w:t>
            </w:r>
            <w:r>
              <w:rPr>
                <w:rFonts w:hint="eastAsia" w:eastAsia="方正仿宋_GBK"/>
                <w:sz w:val="18"/>
                <w:szCs w:val="18"/>
              </w:rPr>
              <w:t>是否存在未经审批施工作业、无证施工作业、违规拆除作业、违规层层转包施工作业、未落实作业安全措施冒险作业；施工现场是否存在违规使用明火或者电焊、气焊作业，动火、电焊、气焊作业人员未持证上岗，电焊、气焊作业未办理动火审批手续，作业现场未采取相应的消防安全措施，动火动焊作业、带火花作业与具有火灾、爆炸风险作业交叉进行；校内建筑是否采用彩钢板尤其是易燃可燃夹芯彩钢板搭建。</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836"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2.</w:t>
            </w:r>
            <w:r>
              <w:rPr>
                <w:rFonts w:hint="eastAsia" w:eastAsia="方正仿宋_GBK"/>
                <w:sz w:val="18"/>
                <w:szCs w:val="18"/>
              </w:rPr>
              <w:t>电气线路是否存在线路老化、绝缘层破损、线路受潮、水浸等问题，是否存在过热、烧损、熔焊、电腐蚀等痕迹，是否未按要求安装使用漏电保护装置、防雷击保护装置。</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836"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3.</w:t>
            </w:r>
            <w:r>
              <w:rPr>
                <w:rFonts w:hint="eastAsia" w:eastAsia="方正仿宋_GBK"/>
                <w:sz w:val="18"/>
                <w:szCs w:val="18"/>
              </w:rPr>
              <w:t>是否存在电动自行车、电瓶车、电动平衡车等使用蓄电池的交通工具违规在室内、楼梯间、公共走道、门厅等部位停放和充电，违规将蓄电池带至室内充电。</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6" w:hRule="atLeast"/>
          <w:jc w:val="center"/>
        </w:trPr>
        <w:tc>
          <w:tcPr>
            <w:tcW w:w="836"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4.</w:t>
            </w:r>
            <w:r>
              <w:rPr>
                <w:rFonts w:hint="eastAsia" w:eastAsia="方正仿宋_GBK"/>
                <w:sz w:val="18"/>
                <w:szCs w:val="18"/>
              </w:rPr>
              <w:t>是否存在对携带火种及违规吸烟等行为的检查和监管不力，违规设置明火设施，违规使用、储存火灾危险性为甲、乙类的物品，违规使用瓶装液化石油气、小型液化气炉、油气炉等其他甲、乙类液体燃料。</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836"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方正仿宋_GBK"/>
                <w:sz w:val="21"/>
                <w:szCs w:val="21"/>
              </w:rPr>
            </w:pPr>
            <w:r>
              <w:rPr>
                <w:rFonts w:hint="eastAsia" w:eastAsia="方正仿宋_GBK"/>
                <w:sz w:val="21"/>
                <w:szCs w:val="21"/>
              </w:rPr>
              <w:t>（三）</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方正仿宋_GBK"/>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r>
              <w:rPr>
                <w:rFonts w:hint="eastAsia" w:eastAsia="方正仿宋_GBK"/>
                <w:sz w:val="21"/>
                <w:szCs w:val="21"/>
              </w:rPr>
              <w:t>安全疏散条件不足</w:t>
            </w:r>
          </w:p>
        </w:tc>
        <w:tc>
          <w:tcPr>
            <w:tcW w:w="49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1.</w:t>
            </w:r>
            <w:r>
              <w:rPr>
                <w:rFonts w:hint="eastAsia" w:eastAsia="方正仿宋_GBK"/>
                <w:sz w:val="18"/>
                <w:szCs w:val="18"/>
              </w:rPr>
              <w:t>是否存在占用、堵塞、封闭疏散通道、安全出口和消防车通道。</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83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2.</w:t>
            </w:r>
            <w:r>
              <w:rPr>
                <w:rFonts w:hint="eastAsia" w:eastAsia="方正仿宋_GBK"/>
                <w:sz w:val="18"/>
                <w:szCs w:val="18"/>
              </w:rPr>
              <w:t>是否存在安全出口和疏散楼梯数量不足、宽度不够。</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83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3.</w:t>
            </w:r>
            <w:r>
              <w:rPr>
                <w:rFonts w:hint="eastAsia" w:eastAsia="方正仿宋_GBK"/>
                <w:sz w:val="18"/>
                <w:szCs w:val="18"/>
              </w:rPr>
              <w:t>是否存在应急广播、应急照明、疏散指示标志缺失、损坏。</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83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hint="eastAsia" w:eastAsia="方正仿宋_GBK"/>
                <w:sz w:val="18"/>
                <w:szCs w:val="18"/>
              </w:rPr>
              <w:t>4.是否存在人员密集场所在门窗上设置影响逃生和灭火救援的防盗网、铁栅栏、广告牌等障碍物。</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83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5.</w:t>
            </w:r>
            <w:r>
              <w:rPr>
                <w:rFonts w:hint="eastAsia" w:eastAsia="方正仿宋_GBK"/>
                <w:sz w:val="18"/>
                <w:szCs w:val="18"/>
              </w:rPr>
              <w:t>是否未结合实际制定灭火和应急疏散预案，师生、宿管员不掌握初起火灾扑救和组织疏散逃生技能。</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8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eastAsia="方正仿宋_GBK"/>
                <w:sz w:val="18"/>
                <w:szCs w:val="18"/>
              </w:rPr>
            </w:pPr>
            <w:r>
              <w:rPr>
                <w:rFonts w:eastAsia="方正仿宋_GBK"/>
                <w:sz w:val="18"/>
                <w:szCs w:val="18"/>
              </w:rPr>
              <w:t>6.</w:t>
            </w:r>
            <w:r>
              <w:rPr>
                <w:rFonts w:hint="eastAsia" w:eastAsia="方正仿宋_GBK"/>
                <w:sz w:val="18"/>
                <w:szCs w:val="18"/>
              </w:rPr>
              <w:t>是否存在共用区域未明确责任人对共用的疏散通道、安全出口进行统一管理。</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5" w:hRule="atLeast"/>
          <w:jc w:val="center"/>
        </w:trPr>
        <w:tc>
          <w:tcPr>
            <w:tcW w:w="836"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方正仿宋_GBK"/>
                <w:sz w:val="21"/>
                <w:szCs w:val="21"/>
              </w:rPr>
            </w:pPr>
            <w:r>
              <w:rPr>
                <w:rFonts w:hint="eastAsia" w:eastAsia="方正仿宋_GBK"/>
                <w:sz w:val="21"/>
                <w:szCs w:val="21"/>
              </w:rPr>
              <w:t>（四）</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方正仿宋_GBK"/>
                <w:sz w:val="21"/>
                <w:szCs w:val="21"/>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r>
              <w:rPr>
                <w:rFonts w:hint="eastAsia" w:eastAsia="方正仿宋_GBK"/>
                <w:sz w:val="21"/>
                <w:szCs w:val="21"/>
              </w:rPr>
              <w:t>重点场所及部位管理不力</w:t>
            </w:r>
          </w:p>
        </w:tc>
        <w:tc>
          <w:tcPr>
            <w:tcW w:w="49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z w:val="18"/>
                <w:szCs w:val="18"/>
              </w:rPr>
            </w:pPr>
            <w:r>
              <w:rPr>
                <w:rFonts w:eastAsia="方正仿宋_GBK"/>
                <w:sz w:val="18"/>
                <w:szCs w:val="18"/>
              </w:rPr>
              <w:t>1.学生宿舍</w:t>
            </w:r>
            <w:r>
              <w:rPr>
                <w:rFonts w:hint="eastAsia" w:eastAsia="方正仿宋_GBK"/>
                <w:sz w:val="18"/>
                <w:szCs w:val="18"/>
              </w:rPr>
              <w:t>是否存在：面积、人数不符合《中小学设计规范》（</w:t>
            </w:r>
            <w:r>
              <w:rPr>
                <w:rFonts w:eastAsia="方正仿宋_GBK"/>
                <w:sz w:val="18"/>
                <w:szCs w:val="18"/>
              </w:rPr>
              <w:t>GB50099-2011）、《农村寄宿制学校生活卫生设施建设与管理规范》（教体艺〔2011〕5号）要求；私自接拉电线、使用电炉、电取暖、热得快等大功率电器设备，每间宿舍未设置用电过载保护装置；违规采用电暖器、电热毯取暖；违规使用蜡烛、酒精炉等明火器具；宿舍值班室未配置灭火器、喊话器、消防过滤式自救呼吸器、对讲机等消防器材；寄宿制学校、幼儿园未按要求至少每两小时组织开展一次夜间防火巡查。</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4" w:hRule="atLeast"/>
          <w:jc w:val="center"/>
        </w:trPr>
        <w:tc>
          <w:tcPr>
            <w:tcW w:w="83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z w:val="18"/>
                <w:szCs w:val="18"/>
              </w:rPr>
            </w:pPr>
            <w:r>
              <w:rPr>
                <w:rFonts w:hint="eastAsia" w:eastAsia="方正仿宋_GBK"/>
                <w:sz w:val="18"/>
                <w:szCs w:val="18"/>
              </w:rPr>
              <w:t>2.实验室（实习实训基地）是否存在：重要危险源未配备专职或兼职管理人员；安全信息牌内容不全面；燃烧、腐蚀等风险的区域未按要求配备应急喷淋和洗眼设备，应急喷淋进水阀未设为常开状态；气瓶、气瓶柜、排风、检测报警装置未正常工作。</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0" w:hRule="atLeast"/>
          <w:jc w:val="center"/>
        </w:trPr>
        <w:tc>
          <w:tcPr>
            <w:tcW w:w="83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z w:val="18"/>
                <w:szCs w:val="18"/>
              </w:rPr>
            </w:pPr>
            <w:r>
              <w:rPr>
                <w:rFonts w:hint="eastAsia" w:eastAsia="方正仿宋_GBK"/>
                <w:sz w:val="18"/>
                <w:szCs w:val="18"/>
              </w:rPr>
              <w:t>3.计算机房是否存在：未设置禁止吸烟、禁止使用明火、禁止使用电炉和生活用电加热器等明显标志</w:t>
            </w:r>
            <w:r>
              <w:rPr>
                <w:rFonts w:hint="eastAsia" w:eastAsia="方正仿宋_GBK"/>
                <w:sz w:val="18"/>
                <w:szCs w:val="18"/>
                <w:lang w:val="en-US" w:eastAsia="zh-CN"/>
              </w:rPr>
              <w:t>;</w:t>
            </w:r>
            <w:r>
              <w:rPr>
                <w:rFonts w:hint="eastAsia" w:eastAsia="方正仿宋_GBK"/>
                <w:sz w:val="18"/>
                <w:szCs w:val="18"/>
              </w:rPr>
              <w:t>存放腐蚀性物品、易燃易爆品和其他引起安全隐患的物品；未严格控制维修机器使用的酒精、丙酮等易燃溶剂；存在使用易燃易爆品擦拭、清洗带电设备等行为。</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jc w:val="center"/>
        </w:trPr>
        <w:tc>
          <w:tcPr>
            <w:tcW w:w="83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z w:val="18"/>
                <w:szCs w:val="18"/>
              </w:rPr>
            </w:pPr>
            <w:r>
              <w:rPr>
                <w:rFonts w:hint="eastAsia" w:eastAsia="方正仿宋_GBK"/>
                <w:sz w:val="18"/>
                <w:szCs w:val="18"/>
              </w:rPr>
              <w:t>4.图书馆是否存在：未设置禁止吸烟、禁止携带易燃易爆危险品入内以及防火标志；管理人员下班，未及时关好门窗、关闭电灯开关及电器设备。</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5" w:hRule="atLeast"/>
          <w:jc w:val="center"/>
        </w:trPr>
        <w:tc>
          <w:tcPr>
            <w:tcW w:w="836"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z w:val="21"/>
                <w:szCs w:val="21"/>
              </w:rPr>
            </w:pPr>
          </w:p>
        </w:tc>
        <w:tc>
          <w:tcPr>
            <w:tcW w:w="49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z w:val="18"/>
                <w:szCs w:val="18"/>
              </w:rPr>
            </w:pPr>
            <w:r>
              <w:rPr>
                <w:rFonts w:hint="eastAsia" w:eastAsia="方正仿宋_GBK"/>
                <w:sz w:val="18"/>
                <w:szCs w:val="18"/>
              </w:rPr>
              <w:t>5.食堂是否存在：厨房未与其他区域采取防火分隔措施；燃气管道、连接软管、法兰接头、仪表、阀门存在破损、泄漏和老化现象；未规范安装、使用可燃气体探测器及燃气紧切断阀；违规使用“环保油”等醇基燃料；炉具未定期检测和保养；液化石油气钢瓶未定期检测，存在存放气瓶总重量超过</w:t>
            </w:r>
            <w:r>
              <w:rPr>
                <w:rFonts w:eastAsia="方正仿宋_GBK"/>
                <w:sz w:val="18"/>
                <w:szCs w:val="18"/>
              </w:rPr>
              <w:t>100kg 但未设置专用气瓶间、在用气瓶和备用气瓶未分开放置，连接软管长度超过2 米、私接“三通”或穿越墙体、门窗、顶棚和地面等违规情况。</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eastAsia="___WRD_EMBED_SUB_44"/>
                <w:sz w:val="18"/>
                <w:szCs w:val="18"/>
              </w:rPr>
            </w:pP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2" w:hRule="atLeast"/>
          <w:jc w:val="center"/>
        </w:trPr>
        <w:tc>
          <w:tcPr>
            <w:tcW w:w="836" w:type="dxa"/>
            <w:tcBorders>
              <w:top w:val="single" w:color="auto"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eastAsia="方正仿宋_GBK"/>
                <w:sz w:val="21"/>
                <w:szCs w:val="21"/>
              </w:rPr>
            </w:pPr>
            <w:r>
              <w:rPr>
                <w:rFonts w:hint="eastAsia" w:eastAsia="方正仿宋_GBK"/>
                <w:sz w:val="21"/>
                <w:szCs w:val="21"/>
              </w:rPr>
              <w:t>（五）</w:t>
            </w:r>
          </w:p>
          <w:p>
            <w:pPr>
              <w:spacing w:line="280" w:lineRule="exact"/>
              <w:jc w:val="center"/>
              <w:rPr>
                <w:rFonts w:eastAsia="方正仿宋_GBK"/>
                <w:sz w:val="21"/>
                <w:szCs w:val="21"/>
              </w:rPr>
            </w:pPr>
            <w:r>
              <w:rPr>
                <w:rFonts w:hint="eastAsia" w:eastAsia="方正仿宋_GBK"/>
                <w:sz w:val="21"/>
                <w:szCs w:val="21"/>
              </w:rPr>
              <w:t>其他</w:t>
            </w:r>
          </w:p>
        </w:tc>
        <w:tc>
          <w:tcPr>
            <w:tcW w:w="6885" w:type="dxa"/>
            <w:gridSpan w:val="2"/>
            <w:tcBorders>
              <w:top w:val="single" w:color="auto" w:sz="4" w:space="0"/>
              <w:left w:val="single" w:color="000000" w:sz="4" w:space="0"/>
              <w:bottom w:val="single" w:color="000000" w:sz="4" w:space="0"/>
              <w:right w:val="single" w:color="000000" w:sz="4" w:space="0"/>
            </w:tcBorders>
            <w:noWrap w:val="0"/>
            <w:vAlign w:val="top"/>
          </w:tcPr>
          <w:p>
            <w:pPr>
              <w:spacing w:line="280" w:lineRule="exact"/>
              <w:rPr>
                <w:rFonts w:eastAsia="___WRD_EMBED_SUB_44"/>
                <w:sz w:val="18"/>
                <w:szCs w:val="18"/>
              </w:rPr>
            </w:pPr>
            <w:r>
              <w:rPr>
                <w:rFonts w:hint="eastAsia" w:eastAsia="方正仿宋_GBK"/>
                <w:sz w:val="18"/>
                <w:szCs w:val="18"/>
              </w:rPr>
              <w:t>其他问题：</w:t>
            </w:r>
          </w:p>
        </w:tc>
        <w:tc>
          <w:tcPr>
            <w:tcW w:w="1730" w:type="dxa"/>
            <w:tcBorders>
              <w:top w:val="single" w:color="000000" w:sz="4" w:space="0"/>
              <w:left w:val="single" w:color="000000" w:sz="4" w:space="0"/>
              <w:bottom w:val="single" w:color="000000" w:sz="4" w:space="0"/>
              <w:right w:val="single" w:color="000000" w:sz="4" w:space="0"/>
            </w:tcBorders>
            <w:noWrap w:val="0"/>
            <w:vAlign w:val="top"/>
          </w:tcPr>
          <w:p>
            <w:pPr>
              <w:spacing w:line="280" w:lineRule="exact"/>
              <w:jc w:val="center"/>
              <w:rPr>
                <w:rFonts w:eastAsia="方正仿宋_GBK"/>
                <w:sz w:val="18"/>
                <w:szCs w:val="18"/>
              </w:rPr>
            </w:pPr>
          </w:p>
        </w:tc>
      </w:tr>
    </w:tbl>
    <w:p>
      <w:pPr>
        <w:adjustRightInd w:val="0"/>
        <w:snapToGrid w:val="0"/>
        <w:spacing w:line="360" w:lineRule="exact"/>
        <w:ind w:firstLine="422"/>
        <w:rPr>
          <w:rFonts w:eastAsia="方正仿宋_GBK"/>
          <w:sz w:val="24"/>
          <w:szCs w:val="24"/>
        </w:rPr>
      </w:pPr>
      <w:r>
        <w:rPr>
          <w:rFonts w:hint="eastAsia" w:eastAsia="方正仿宋_GBK"/>
          <w:b/>
          <w:sz w:val="24"/>
          <w:szCs w:val="24"/>
        </w:rPr>
        <w:t>自查人员（签字）：</w:t>
      </w:r>
      <w:r>
        <w:rPr>
          <w:rFonts w:eastAsia="方正仿宋_GBK"/>
          <w:sz w:val="24"/>
          <w:szCs w:val="24"/>
        </w:rPr>
        <w:t xml:space="preserve">                                 </w:t>
      </w:r>
      <w:r>
        <w:rPr>
          <w:rFonts w:hint="eastAsia" w:eastAsia="方正仿宋_GBK"/>
          <w:b/>
          <w:sz w:val="24"/>
          <w:szCs w:val="24"/>
        </w:rPr>
        <w:t>自查时间：</w:t>
      </w:r>
    </w:p>
    <w:p>
      <w:pPr>
        <w:pStyle w:val="15"/>
        <w:spacing w:line="240" w:lineRule="exact"/>
        <w:ind w:firstLine="301" w:firstLineChars="200"/>
        <w:rPr>
          <w:rFonts w:eastAsia="方正仿宋_GBK"/>
          <w:b/>
          <w:color w:val="auto"/>
          <w:sz w:val="15"/>
          <w:szCs w:val="15"/>
        </w:rPr>
      </w:pPr>
    </w:p>
    <w:p>
      <w:pPr>
        <w:pStyle w:val="4"/>
        <w:bidi w:val="0"/>
        <w:rPr>
          <w:rFonts w:hint="eastAsia" w:ascii="方正仿宋_GBK" w:hAnsi="方正仿宋_GBK" w:eastAsia="方正仿宋_GBK" w:cs="方正仿宋_GBK"/>
          <w:color w:val="auto"/>
          <w:sz w:val="21"/>
          <w:szCs w:val="21"/>
        </w:rPr>
        <w:sectPr>
          <w:pgSz w:w="11907" w:h="16840"/>
          <w:pgMar w:top="1701" w:right="1417" w:bottom="1701" w:left="1417" w:header="851" w:footer="1361" w:gutter="227"/>
          <w:pgNumType w:fmt="numberInDash"/>
          <w:cols w:space="720" w:num="1"/>
          <w:docGrid w:type="lines" w:linePitch="579" w:charSpace="0"/>
        </w:sectPr>
      </w:pPr>
      <w:r>
        <w:rPr>
          <w:rFonts w:hint="eastAsia" w:eastAsia="方正仿宋_GBK"/>
          <w:b/>
          <w:color w:val="auto"/>
          <w:sz w:val="21"/>
          <w:szCs w:val="21"/>
        </w:rPr>
        <w:t>注</w:t>
      </w:r>
      <w:r>
        <w:rPr>
          <w:rFonts w:hint="eastAsia" w:eastAsia="方正仿宋_GBK"/>
          <w:color w:val="auto"/>
          <w:sz w:val="21"/>
          <w:szCs w:val="21"/>
        </w:rPr>
        <w:t>：此自查表</w:t>
      </w:r>
      <w:r>
        <w:rPr>
          <w:rFonts w:hint="eastAsia" w:ascii="方正仿宋_GBK" w:hAnsi="方正仿宋_GBK" w:eastAsia="方正仿宋_GBK" w:cs="方正仿宋_GBK"/>
          <w:color w:val="auto"/>
          <w:sz w:val="21"/>
          <w:szCs w:val="21"/>
        </w:rPr>
        <w:t>采用</w:t>
      </w:r>
      <w:r>
        <w:rPr>
          <w:rFonts w:hint="eastAsia" w:eastAsia="方正仿宋_GBK"/>
          <w:color w:val="auto"/>
          <w:sz w:val="21"/>
          <w:szCs w:val="21"/>
        </w:rPr>
        <w:t>A4纸</w:t>
      </w:r>
      <w:r>
        <w:rPr>
          <w:rFonts w:hint="eastAsia" w:ascii="方正仿宋_GBK" w:hAnsi="方正仿宋_GBK" w:eastAsia="方正仿宋_GBK" w:cs="方正仿宋_GBK"/>
          <w:color w:val="auto"/>
          <w:sz w:val="21"/>
          <w:szCs w:val="21"/>
        </w:rPr>
        <w:t>打印，一式</w:t>
      </w:r>
      <w:r>
        <w:rPr>
          <w:rFonts w:hint="eastAsia" w:eastAsia="方正仿宋_GBK"/>
          <w:color w:val="auto"/>
          <w:sz w:val="21"/>
          <w:szCs w:val="21"/>
        </w:rPr>
        <w:t>2</w:t>
      </w:r>
      <w:r>
        <w:rPr>
          <w:rFonts w:hint="eastAsia" w:ascii="方正仿宋_GBK" w:hAnsi="方正仿宋_GBK" w:eastAsia="方正仿宋_GBK" w:cs="方正仿宋_GBK"/>
          <w:color w:val="auto"/>
          <w:sz w:val="21"/>
          <w:szCs w:val="21"/>
        </w:rPr>
        <w:t>份，由单位负责人填写并加盖公章，</w:t>
      </w:r>
      <w:r>
        <w:rPr>
          <w:rFonts w:hint="eastAsia" w:eastAsia="方正仿宋_GBK"/>
          <w:color w:val="auto"/>
          <w:sz w:val="21"/>
          <w:szCs w:val="21"/>
        </w:rPr>
        <w:t>1份</w:t>
      </w:r>
      <w:r>
        <w:rPr>
          <w:rFonts w:hint="eastAsia" w:ascii="方正仿宋_GBK" w:hAnsi="方正仿宋_GBK" w:eastAsia="方正仿宋_GBK" w:cs="方正仿宋_GBK"/>
          <w:color w:val="auto"/>
          <w:sz w:val="21"/>
          <w:szCs w:val="21"/>
        </w:rPr>
        <w:t>张贴于该单位醒目位置，</w:t>
      </w:r>
      <w:r>
        <w:rPr>
          <w:rFonts w:hint="eastAsia" w:eastAsia="方正仿宋_GBK"/>
          <w:color w:val="auto"/>
          <w:sz w:val="21"/>
          <w:szCs w:val="21"/>
        </w:rPr>
        <w:t>1</w:t>
      </w:r>
      <w:r>
        <w:rPr>
          <w:rFonts w:hint="eastAsia" w:ascii="方正仿宋_GBK" w:hAnsi="方正仿宋_GBK" w:eastAsia="方正仿宋_GBK" w:cs="方正仿宋_GBK"/>
          <w:color w:val="auto"/>
          <w:sz w:val="21"/>
          <w:szCs w:val="21"/>
        </w:rPr>
        <w:t>份单位存档留存</w:t>
      </w:r>
    </w:p>
    <w:p>
      <w:pPr>
        <w:rPr>
          <w:rFonts w:hint="eastAsia" w:ascii="黑体" w:hAnsi="黑体" w:eastAsia="黑体"/>
          <w:sz w:val="32"/>
          <w:szCs w:val="32"/>
        </w:rPr>
      </w:pPr>
      <w:r>
        <w:rPr>
          <w:rFonts w:hint="eastAsia" w:ascii="黑体" w:hAnsi="黑体" w:eastAsia="黑体"/>
          <w:sz w:val="32"/>
          <w:szCs w:val="32"/>
        </w:rPr>
        <w:t>附件2</w:t>
      </w:r>
    </w:p>
    <w:p>
      <w:pPr>
        <w:pStyle w:val="15"/>
        <w:spacing w:line="600" w:lineRule="exact"/>
        <w:jc w:val="center"/>
        <w:rPr>
          <w:rFonts w:eastAsia="方正仿宋_GBK"/>
          <w:bCs/>
        </w:rPr>
      </w:pPr>
      <w:r>
        <w:rPr>
          <w:rFonts w:hint="eastAsia" w:eastAsia="方正小标宋_GBK"/>
          <w:spacing w:val="-10"/>
          <w:sz w:val="36"/>
          <w:szCs w:val="44"/>
        </w:rPr>
        <w:t>消防安全集中除患攻坚大整治行动排查登记表</w:t>
      </w:r>
    </w:p>
    <w:p>
      <w:pPr>
        <w:pStyle w:val="15"/>
        <w:spacing w:line="600" w:lineRule="exact"/>
        <w:rPr>
          <w:rFonts w:eastAsia="方正仿宋_GBK"/>
          <w:bCs/>
        </w:rPr>
      </w:pPr>
      <w:r>
        <w:rPr>
          <w:rFonts w:hint="eastAsia" w:eastAsia="方正仿宋_GBK"/>
          <w:bCs/>
        </w:rPr>
        <w:t xml:space="preserve">填报单位： </w:t>
      </w:r>
      <w:r>
        <w:rPr>
          <w:rFonts w:eastAsia="方正仿宋_GBK"/>
          <w:bCs/>
        </w:rPr>
        <w:t xml:space="preserve">                                                                          </w:t>
      </w:r>
      <w:r>
        <w:rPr>
          <w:rFonts w:hint="eastAsia" w:eastAsia="方正仿宋_GBK"/>
          <w:bCs/>
        </w:rPr>
        <w:t>填报日期：</w:t>
      </w:r>
    </w:p>
    <w:tbl>
      <w:tblPr>
        <w:tblStyle w:val="6"/>
        <w:tblW w:w="143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
        <w:gridCol w:w="2051"/>
        <w:gridCol w:w="1701"/>
        <w:gridCol w:w="2676"/>
        <w:gridCol w:w="1444"/>
        <w:gridCol w:w="1550"/>
        <w:gridCol w:w="851"/>
        <w:gridCol w:w="992"/>
        <w:gridCol w:w="1006"/>
        <w:gridCol w:w="1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21" w:type="dxa"/>
            <w:vMerge w:val="restart"/>
            <w:noWrap w:val="0"/>
            <w:vAlign w:val="center"/>
          </w:tcPr>
          <w:p>
            <w:pPr>
              <w:pStyle w:val="15"/>
              <w:spacing w:line="600" w:lineRule="exact"/>
              <w:jc w:val="center"/>
              <w:rPr>
                <w:rFonts w:ascii="方正黑体_GBK" w:eastAsia="方正黑体_GBK"/>
                <w:bCs/>
              </w:rPr>
            </w:pPr>
            <w:r>
              <w:rPr>
                <w:rFonts w:hint="eastAsia" w:ascii="方正黑体_GBK" w:eastAsia="方正黑体_GBK"/>
                <w:bCs/>
              </w:rPr>
              <w:t>序号</w:t>
            </w:r>
          </w:p>
        </w:tc>
        <w:tc>
          <w:tcPr>
            <w:tcW w:w="2051" w:type="dxa"/>
            <w:vMerge w:val="restart"/>
            <w:noWrap w:val="0"/>
            <w:vAlign w:val="center"/>
          </w:tcPr>
          <w:p>
            <w:pPr>
              <w:pStyle w:val="15"/>
              <w:spacing w:line="600" w:lineRule="exact"/>
              <w:jc w:val="center"/>
              <w:rPr>
                <w:rFonts w:ascii="方正黑体_GBK" w:eastAsia="方正黑体_GBK"/>
                <w:bCs/>
              </w:rPr>
            </w:pPr>
            <w:r>
              <w:rPr>
                <w:rFonts w:hint="eastAsia" w:ascii="方正黑体_GBK" w:eastAsia="方正黑体_GBK"/>
                <w:bCs/>
              </w:rPr>
              <w:t>单位或区域名称</w:t>
            </w:r>
          </w:p>
        </w:tc>
        <w:tc>
          <w:tcPr>
            <w:tcW w:w="1701" w:type="dxa"/>
            <w:vMerge w:val="restart"/>
            <w:noWrap w:val="0"/>
            <w:vAlign w:val="center"/>
          </w:tcPr>
          <w:p>
            <w:pPr>
              <w:pStyle w:val="15"/>
              <w:spacing w:line="600" w:lineRule="exact"/>
              <w:jc w:val="center"/>
              <w:rPr>
                <w:rFonts w:ascii="方正黑体_GBK" w:eastAsia="方正黑体_GBK"/>
                <w:bCs/>
              </w:rPr>
            </w:pPr>
            <w:r>
              <w:rPr>
                <w:rFonts w:hint="eastAsia" w:ascii="方正黑体_GBK" w:eastAsia="方正黑体_GBK"/>
                <w:bCs/>
              </w:rPr>
              <w:t>责任人及电话</w:t>
            </w:r>
          </w:p>
        </w:tc>
        <w:tc>
          <w:tcPr>
            <w:tcW w:w="2676" w:type="dxa"/>
            <w:vMerge w:val="restart"/>
            <w:noWrap w:val="0"/>
            <w:vAlign w:val="center"/>
          </w:tcPr>
          <w:p>
            <w:pPr>
              <w:pStyle w:val="15"/>
              <w:spacing w:line="600" w:lineRule="exact"/>
              <w:jc w:val="center"/>
              <w:rPr>
                <w:rFonts w:ascii="方正黑体_GBK" w:eastAsia="方正黑体_GBK"/>
                <w:bCs/>
              </w:rPr>
            </w:pPr>
            <w:r>
              <w:rPr>
                <w:rFonts w:hint="eastAsia" w:ascii="方正黑体_GBK" w:eastAsia="方正黑体_GBK"/>
                <w:bCs/>
              </w:rPr>
              <w:t>存在问题</w:t>
            </w:r>
          </w:p>
        </w:tc>
        <w:tc>
          <w:tcPr>
            <w:tcW w:w="1444" w:type="dxa"/>
            <w:vMerge w:val="restart"/>
            <w:noWrap w:val="0"/>
            <w:vAlign w:val="center"/>
          </w:tcPr>
          <w:p>
            <w:pPr>
              <w:pStyle w:val="15"/>
              <w:spacing w:line="320" w:lineRule="exact"/>
              <w:jc w:val="center"/>
              <w:rPr>
                <w:rFonts w:ascii="方正黑体_GBK" w:eastAsia="方正黑体_GBK"/>
                <w:bCs/>
              </w:rPr>
            </w:pPr>
            <w:r>
              <w:rPr>
                <w:rFonts w:hint="eastAsia" w:ascii="方正黑体_GBK" w:eastAsia="方正黑体_GBK"/>
                <w:bCs/>
              </w:rPr>
              <w:t>是否构成重大火灾隐患</w:t>
            </w:r>
          </w:p>
        </w:tc>
        <w:tc>
          <w:tcPr>
            <w:tcW w:w="1550" w:type="dxa"/>
            <w:vMerge w:val="restart"/>
            <w:noWrap w:val="0"/>
            <w:vAlign w:val="center"/>
          </w:tcPr>
          <w:p>
            <w:pPr>
              <w:pStyle w:val="15"/>
              <w:spacing w:line="320" w:lineRule="exact"/>
              <w:jc w:val="center"/>
              <w:rPr>
                <w:rFonts w:ascii="方正黑体_GBK" w:eastAsia="方正黑体_GBK"/>
                <w:bCs/>
              </w:rPr>
            </w:pPr>
            <w:r>
              <w:rPr>
                <w:rFonts w:hint="eastAsia" w:ascii="方正黑体_GBK" w:eastAsia="方正黑体_GBK"/>
                <w:bCs/>
              </w:rPr>
              <w:t>整改措施</w:t>
            </w:r>
          </w:p>
        </w:tc>
        <w:tc>
          <w:tcPr>
            <w:tcW w:w="1843" w:type="dxa"/>
            <w:gridSpan w:val="2"/>
            <w:tcBorders>
              <w:bottom w:val="single" w:color="auto" w:sz="4" w:space="0"/>
            </w:tcBorders>
            <w:noWrap w:val="0"/>
            <w:vAlign w:val="center"/>
          </w:tcPr>
          <w:p>
            <w:pPr>
              <w:pStyle w:val="15"/>
              <w:spacing w:line="320" w:lineRule="exact"/>
              <w:jc w:val="center"/>
              <w:rPr>
                <w:rFonts w:ascii="方正黑体_GBK" w:eastAsia="方正黑体_GBK"/>
                <w:bCs/>
                <w:sz w:val="21"/>
              </w:rPr>
            </w:pPr>
            <w:r>
              <w:rPr>
                <w:rFonts w:hint="eastAsia" w:ascii="方正黑体_GBK" w:eastAsia="方正黑体_GBK"/>
                <w:bCs/>
                <w:sz w:val="21"/>
              </w:rPr>
              <w:t>拆除铁栅栏、防盗网、广告牌</w:t>
            </w:r>
          </w:p>
        </w:tc>
        <w:tc>
          <w:tcPr>
            <w:tcW w:w="1006" w:type="dxa"/>
            <w:vMerge w:val="restart"/>
            <w:noWrap w:val="0"/>
            <w:vAlign w:val="center"/>
          </w:tcPr>
          <w:p>
            <w:pPr>
              <w:pStyle w:val="15"/>
              <w:spacing w:line="320" w:lineRule="exact"/>
              <w:jc w:val="center"/>
              <w:rPr>
                <w:rFonts w:ascii="方正黑体_GBK" w:eastAsia="方正黑体_GBK"/>
                <w:bCs/>
              </w:rPr>
            </w:pPr>
            <w:r>
              <w:rPr>
                <w:rFonts w:hint="eastAsia" w:ascii="方正黑体_GBK" w:eastAsia="方正黑体_GBK"/>
                <w:bCs/>
              </w:rPr>
              <w:t>是否整改完毕</w:t>
            </w:r>
          </w:p>
        </w:tc>
        <w:tc>
          <w:tcPr>
            <w:tcW w:w="1199" w:type="dxa"/>
            <w:vMerge w:val="restart"/>
            <w:noWrap w:val="0"/>
            <w:vAlign w:val="center"/>
          </w:tcPr>
          <w:p>
            <w:pPr>
              <w:pStyle w:val="15"/>
              <w:spacing w:line="320" w:lineRule="exact"/>
              <w:jc w:val="center"/>
              <w:rPr>
                <w:rFonts w:ascii="方正黑体_GBK" w:eastAsia="方正黑体_GBK"/>
                <w:bCs/>
              </w:rPr>
            </w:pPr>
            <w:r>
              <w:rPr>
                <w:rFonts w:hint="eastAsia" w:ascii="方正黑体_GBK" w:eastAsia="方正黑体_GBK"/>
                <w:bCs/>
              </w:rPr>
              <w:t>检查人员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921" w:type="dxa"/>
            <w:vMerge w:val="continue"/>
            <w:noWrap w:val="0"/>
            <w:vAlign w:val="center"/>
          </w:tcPr>
          <w:p>
            <w:pPr>
              <w:pStyle w:val="15"/>
              <w:spacing w:line="600" w:lineRule="exact"/>
              <w:jc w:val="center"/>
              <w:rPr>
                <w:rFonts w:ascii="方正黑体_GBK" w:eastAsia="方正黑体_GBK"/>
                <w:bCs/>
              </w:rPr>
            </w:pPr>
          </w:p>
        </w:tc>
        <w:tc>
          <w:tcPr>
            <w:tcW w:w="2051" w:type="dxa"/>
            <w:vMerge w:val="continue"/>
            <w:noWrap w:val="0"/>
            <w:vAlign w:val="center"/>
          </w:tcPr>
          <w:p>
            <w:pPr>
              <w:pStyle w:val="15"/>
              <w:spacing w:line="600" w:lineRule="exact"/>
              <w:jc w:val="center"/>
              <w:rPr>
                <w:rFonts w:ascii="方正黑体_GBK" w:eastAsia="方正黑体_GBK"/>
                <w:bCs/>
              </w:rPr>
            </w:pPr>
          </w:p>
        </w:tc>
        <w:tc>
          <w:tcPr>
            <w:tcW w:w="1701" w:type="dxa"/>
            <w:vMerge w:val="continue"/>
            <w:noWrap w:val="0"/>
            <w:vAlign w:val="center"/>
          </w:tcPr>
          <w:p>
            <w:pPr>
              <w:pStyle w:val="15"/>
              <w:spacing w:line="600" w:lineRule="exact"/>
              <w:jc w:val="center"/>
              <w:rPr>
                <w:rFonts w:ascii="方正黑体_GBK" w:eastAsia="方正黑体_GBK"/>
                <w:bCs/>
              </w:rPr>
            </w:pPr>
          </w:p>
        </w:tc>
        <w:tc>
          <w:tcPr>
            <w:tcW w:w="2676" w:type="dxa"/>
            <w:vMerge w:val="continue"/>
            <w:noWrap w:val="0"/>
            <w:vAlign w:val="center"/>
          </w:tcPr>
          <w:p>
            <w:pPr>
              <w:pStyle w:val="15"/>
              <w:spacing w:line="600" w:lineRule="exact"/>
              <w:jc w:val="center"/>
              <w:rPr>
                <w:rFonts w:ascii="方正黑体_GBK" w:eastAsia="方正黑体_GBK"/>
                <w:bCs/>
              </w:rPr>
            </w:pPr>
          </w:p>
        </w:tc>
        <w:tc>
          <w:tcPr>
            <w:tcW w:w="1444" w:type="dxa"/>
            <w:vMerge w:val="continue"/>
            <w:noWrap w:val="0"/>
            <w:vAlign w:val="center"/>
          </w:tcPr>
          <w:p>
            <w:pPr>
              <w:pStyle w:val="15"/>
              <w:spacing w:line="320" w:lineRule="exact"/>
              <w:jc w:val="center"/>
              <w:rPr>
                <w:rFonts w:ascii="方正黑体_GBK" w:eastAsia="方正黑体_GBK"/>
                <w:bCs/>
              </w:rPr>
            </w:pPr>
          </w:p>
        </w:tc>
        <w:tc>
          <w:tcPr>
            <w:tcW w:w="1550" w:type="dxa"/>
            <w:vMerge w:val="continue"/>
            <w:noWrap w:val="0"/>
            <w:vAlign w:val="top"/>
          </w:tcPr>
          <w:p>
            <w:pPr>
              <w:pStyle w:val="15"/>
              <w:spacing w:line="320" w:lineRule="exact"/>
              <w:jc w:val="center"/>
              <w:rPr>
                <w:rFonts w:ascii="方正黑体_GBK" w:eastAsia="方正黑体_GBK"/>
                <w:bCs/>
              </w:rPr>
            </w:pPr>
          </w:p>
        </w:tc>
        <w:tc>
          <w:tcPr>
            <w:tcW w:w="851" w:type="dxa"/>
            <w:tcBorders>
              <w:top w:val="single" w:color="auto" w:sz="4" w:space="0"/>
              <w:right w:val="single" w:color="auto" w:sz="4" w:space="0"/>
            </w:tcBorders>
            <w:noWrap w:val="0"/>
            <w:vAlign w:val="top"/>
          </w:tcPr>
          <w:p>
            <w:pPr>
              <w:pStyle w:val="15"/>
              <w:spacing w:line="320" w:lineRule="exact"/>
              <w:jc w:val="center"/>
              <w:rPr>
                <w:rFonts w:ascii="方正黑体_GBK" w:eastAsia="方正黑体_GBK"/>
                <w:bCs/>
                <w:sz w:val="21"/>
              </w:rPr>
            </w:pPr>
            <w:r>
              <w:rPr>
                <w:rFonts w:hint="eastAsia" w:ascii="方正黑体_GBK" w:eastAsia="方正黑体_GBK"/>
                <w:bCs/>
                <w:sz w:val="21"/>
              </w:rPr>
              <w:t>处</w:t>
            </w:r>
          </w:p>
        </w:tc>
        <w:tc>
          <w:tcPr>
            <w:tcW w:w="992" w:type="dxa"/>
            <w:tcBorders>
              <w:top w:val="single" w:color="auto" w:sz="4" w:space="0"/>
              <w:left w:val="single" w:color="auto" w:sz="4" w:space="0"/>
            </w:tcBorders>
            <w:noWrap w:val="0"/>
            <w:vAlign w:val="top"/>
          </w:tcPr>
          <w:p>
            <w:pPr>
              <w:pStyle w:val="15"/>
              <w:spacing w:line="320" w:lineRule="exact"/>
              <w:jc w:val="center"/>
              <w:rPr>
                <w:rFonts w:ascii="方正黑体_GBK" w:eastAsia="方正黑体_GBK"/>
                <w:bCs/>
                <w:sz w:val="21"/>
              </w:rPr>
            </w:pPr>
            <w:r>
              <w:rPr>
                <w:rFonts w:hint="eastAsia" w:ascii="方正黑体_GBK" w:eastAsia="方正黑体_GBK"/>
                <w:bCs/>
                <w:sz w:val="21"/>
              </w:rPr>
              <w:t>面积</w:t>
            </w:r>
          </w:p>
        </w:tc>
        <w:tc>
          <w:tcPr>
            <w:tcW w:w="1006" w:type="dxa"/>
            <w:vMerge w:val="continue"/>
            <w:noWrap w:val="0"/>
            <w:vAlign w:val="top"/>
          </w:tcPr>
          <w:p>
            <w:pPr>
              <w:pStyle w:val="15"/>
              <w:spacing w:line="320" w:lineRule="exact"/>
              <w:jc w:val="center"/>
              <w:rPr>
                <w:rFonts w:ascii="方正黑体_GBK" w:eastAsia="方正黑体_GBK"/>
                <w:bCs/>
              </w:rPr>
            </w:pPr>
          </w:p>
        </w:tc>
        <w:tc>
          <w:tcPr>
            <w:tcW w:w="1199" w:type="dxa"/>
            <w:vMerge w:val="continue"/>
            <w:noWrap w:val="0"/>
            <w:vAlign w:val="center"/>
          </w:tcPr>
          <w:p>
            <w:pPr>
              <w:pStyle w:val="15"/>
              <w:spacing w:line="320" w:lineRule="exact"/>
              <w:jc w:val="center"/>
              <w:rPr>
                <w:rFonts w:ascii="方正黑体_GBK" w:eastAsia="方正黑体_GBK"/>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921" w:type="dxa"/>
            <w:noWrap w:val="0"/>
            <w:vAlign w:val="center"/>
          </w:tcPr>
          <w:p>
            <w:pPr>
              <w:pStyle w:val="15"/>
              <w:spacing w:line="400" w:lineRule="exact"/>
              <w:jc w:val="center"/>
              <w:rPr>
                <w:rFonts w:eastAsia="方正仿宋_GBK"/>
                <w:bCs/>
              </w:rPr>
            </w:pPr>
            <w:r>
              <w:rPr>
                <w:rFonts w:hint="eastAsia" w:eastAsia="方正仿宋_GBK"/>
                <w:bCs/>
              </w:rPr>
              <w:t>1</w:t>
            </w:r>
          </w:p>
        </w:tc>
        <w:tc>
          <w:tcPr>
            <w:tcW w:w="2051" w:type="dxa"/>
            <w:noWrap w:val="0"/>
            <w:vAlign w:val="center"/>
          </w:tcPr>
          <w:p>
            <w:pPr>
              <w:pStyle w:val="15"/>
              <w:spacing w:line="400" w:lineRule="exact"/>
              <w:jc w:val="center"/>
              <w:rPr>
                <w:rFonts w:eastAsia="方正仿宋_GBK"/>
                <w:bCs/>
              </w:rPr>
            </w:pPr>
          </w:p>
        </w:tc>
        <w:tc>
          <w:tcPr>
            <w:tcW w:w="1701" w:type="dxa"/>
            <w:noWrap w:val="0"/>
            <w:vAlign w:val="center"/>
          </w:tcPr>
          <w:p>
            <w:pPr>
              <w:pStyle w:val="15"/>
              <w:spacing w:line="400" w:lineRule="exact"/>
              <w:jc w:val="center"/>
              <w:rPr>
                <w:rFonts w:eastAsia="方正仿宋_GBK"/>
                <w:bCs/>
              </w:rPr>
            </w:pPr>
          </w:p>
        </w:tc>
        <w:tc>
          <w:tcPr>
            <w:tcW w:w="2676" w:type="dxa"/>
            <w:noWrap w:val="0"/>
            <w:vAlign w:val="center"/>
          </w:tcPr>
          <w:p>
            <w:pPr>
              <w:pStyle w:val="15"/>
              <w:spacing w:line="400" w:lineRule="exact"/>
              <w:jc w:val="center"/>
              <w:rPr>
                <w:rFonts w:eastAsia="方正仿宋_GBK"/>
                <w:bCs/>
              </w:rPr>
            </w:pPr>
          </w:p>
        </w:tc>
        <w:tc>
          <w:tcPr>
            <w:tcW w:w="1444" w:type="dxa"/>
            <w:noWrap w:val="0"/>
            <w:vAlign w:val="center"/>
          </w:tcPr>
          <w:p>
            <w:pPr>
              <w:pStyle w:val="15"/>
              <w:spacing w:line="400" w:lineRule="exact"/>
              <w:jc w:val="center"/>
              <w:rPr>
                <w:rFonts w:eastAsia="方正仿宋_GBK"/>
                <w:bCs/>
              </w:rPr>
            </w:pPr>
          </w:p>
        </w:tc>
        <w:tc>
          <w:tcPr>
            <w:tcW w:w="1550" w:type="dxa"/>
            <w:noWrap w:val="0"/>
            <w:vAlign w:val="top"/>
          </w:tcPr>
          <w:p>
            <w:pPr>
              <w:pStyle w:val="15"/>
              <w:spacing w:line="400" w:lineRule="exact"/>
              <w:jc w:val="center"/>
              <w:rPr>
                <w:rFonts w:eastAsia="方正仿宋_GBK"/>
                <w:bCs/>
              </w:rPr>
            </w:pPr>
          </w:p>
        </w:tc>
        <w:tc>
          <w:tcPr>
            <w:tcW w:w="851" w:type="dxa"/>
            <w:tcBorders>
              <w:right w:val="single" w:color="auto" w:sz="4" w:space="0"/>
            </w:tcBorders>
            <w:noWrap w:val="0"/>
            <w:vAlign w:val="top"/>
          </w:tcPr>
          <w:p>
            <w:pPr>
              <w:pStyle w:val="15"/>
              <w:spacing w:line="400" w:lineRule="exact"/>
              <w:jc w:val="center"/>
              <w:rPr>
                <w:rFonts w:eastAsia="方正仿宋_GBK"/>
                <w:bCs/>
              </w:rPr>
            </w:pPr>
          </w:p>
        </w:tc>
        <w:tc>
          <w:tcPr>
            <w:tcW w:w="992" w:type="dxa"/>
            <w:tcBorders>
              <w:left w:val="single" w:color="auto" w:sz="4" w:space="0"/>
            </w:tcBorders>
            <w:noWrap w:val="0"/>
            <w:vAlign w:val="top"/>
          </w:tcPr>
          <w:p>
            <w:pPr>
              <w:pStyle w:val="15"/>
              <w:spacing w:line="400" w:lineRule="exact"/>
              <w:jc w:val="center"/>
              <w:rPr>
                <w:rFonts w:eastAsia="方正仿宋_GBK"/>
                <w:bCs/>
              </w:rPr>
            </w:pPr>
          </w:p>
        </w:tc>
        <w:tc>
          <w:tcPr>
            <w:tcW w:w="1006" w:type="dxa"/>
            <w:noWrap w:val="0"/>
            <w:vAlign w:val="top"/>
          </w:tcPr>
          <w:p>
            <w:pPr>
              <w:pStyle w:val="15"/>
              <w:spacing w:line="400" w:lineRule="exact"/>
              <w:jc w:val="center"/>
              <w:rPr>
                <w:rFonts w:eastAsia="方正仿宋_GBK"/>
                <w:bCs/>
              </w:rPr>
            </w:pPr>
          </w:p>
        </w:tc>
        <w:tc>
          <w:tcPr>
            <w:tcW w:w="1199" w:type="dxa"/>
            <w:noWrap w:val="0"/>
            <w:vAlign w:val="center"/>
          </w:tcPr>
          <w:p>
            <w:pPr>
              <w:pStyle w:val="15"/>
              <w:spacing w:line="400" w:lineRule="exact"/>
              <w:jc w:val="center"/>
              <w:rPr>
                <w:rFonts w:eastAsia="方正仿宋_GBK"/>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921" w:type="dxa"/>
            <w:noWrap w:val="0"/>
            <w:vAlign w:val="center"/>
          </w:tcPr>
          <w:p>
            <w:pPr>
              <w:pStyle w:val="15"/>
              <w:spacing w:line="400" w:lineRule="exact"/>
              <w:jc w:val="center"/>
              <w:rPr>
                <w:rFonts w:eastAsia="方正仿宋_GBK"/>
                <w:bCs/>
              </w:rPr>
            </w:pPr>
            <w:r>
              <w:rPr>
                <w:rFonts w:hint="eastAsia" w:eastAsia="方正仿宋_GBK"/>
                <w:bCs/>
              </w:rPr>
              <w:t>2</w:t>
            </w:r>
          </w:p>
        </w:tc>
        <w:tc>
          <w:tcPr>
            <w:tcW w:w="2051" w:type="dxa"/>
            <w:noWrap w:val="0"/>
            <w:vAlign w:val="center"/>
          </w:tcPr>
          <w:p>
            <w:pPr>
              <w:pStyle w:val="15"/>
              <w:spacing w:line="400" w:lineRule="exact"/>
              <w:jc w:val="center"/>
              <w:rPr>
                <w:rFonts w:eastAsia="方正仿宋_GBK"/>
                <w:bCs/>
              </w:rPr>
            </w:pPr>
          </w:p>
        </w:tc>
        <w:tc>
          <w:tcPr>
            <w:tcW w:w="1701" w:type="dxa"/>
            <w:noWrap w:val="0"/>
            <w:vAlign w:val="center"/>
          </w:tcPr>
          <w:p>
            <w:pPr>
              <w:pStyle w:val="15"/>
              <w:spacing w:line="400" w:lineRule="exact"/>
              <w:jc w:val="center"/>
              <w:rPr>
                <w:rFonts w:eastAsia="方正仿宋_GBK"/>
                <w:bCs/>
              </w:rPr>
            </w:pPr>
          </w:p>
        </w:tc>
        <w:tc>
          <w:tcPr>
            <w:tcW w:w="2676" w:type="dxa"/>
            <w:noWrap w:val="0"/>
            <w:vAlign w:val="center"/>
          </w:tcPr>
          <w:p>
            <w:pPr>
              <w:pStyle w:val="15"/>
              <w:spacing w:line="400" w:lineRule="exact"/>
              <w:jc w:val="center"/>
              <w:rPr>
                <w:rFonts w:eastAsia="方正仿宋_GBK"/>
                <w:bCs/>
              </w:rPr>
            </w:pPr>
          </w:p>
        </w:tc>
        <w:tc>
          <w:tcPr>
            <w:tcW w:w="1444" w:type="dxa"/>
            <w:noWrap w:val="0"/>
            <w:vAlign w:val="center"/>
          </w:tcPr>
          <w:p>
            <w:pPr>
              <w:pStyle w:val="15"/>
              <w:spacing w:line="400" w:lineRule="exact"/>
              <w:jc w:val="center"/>
              <w:rPr>
                <w:rFonts w:eastAsia="方正仿宋_GBK"/>
                <w:bCs/>
              </w:rPr>
            </w:pPr>
          </w:p>
        </w:tc>
        <w:tc>
          <w:tcPr>
            <w:tcW w:w="1550" w:type="dxa"/>
            <w:noWrap w:val="0"/>
            <w:vAlign w:val="top"/>
          </w:tcPr>
          <w:p>
            <w:pPr>
              <w:pStyle w:val="15"/>
              <w:spacing w:line="400" w:lineRule="exact"/>
              <w:jc w:val="center"/>
              <w:rPr>
                <w:rFonts w:eastAsia="方正仿宋_GBK"/>
                <w:bCs/>
              </w:rPr>
            </w:pPr>
          </w:p>
        </w:tc>
        <w:tc>
          <w:tcPr>
            <w:tcW w:w="851" w:type="dxa"/>
            <w:noWrap w:val="0"/>
            <w:vAlign w:val="top"/>
          </w:tcPr>
          <w:p>
            <w:pPr>
              <w:pStyle w:val="15"/>
              <w:spacing w:line="400" w:lineRule="exact"/>
              <w:jc w:val="center"/>
              <w:rPr>
                <w:rFonts w:eastAsia="方正仿宋_GBK"/>
                <w:bCs/>
              </w:rPr>
            </w:pPr>
          </w:p>
        </w:tc>
        <w:tc>
          <w:tcPr>
            <w:tcW w:w="992" w:type="dxa"/>
            <w:noWrap w:val="0"/>
            <w:vAlign w:val="top"/>
          </w:tcPr>
          <w:p>
            <w:pPr>
              <w:pStyle w:val="15"/>
              <w:spacing w:line="400" w:lineRule="exact"/>
              <w:jc w:val="center"/>
              <w:rPr>
                <w:rFonts w:eastAsia="方正仿宋_GBK"/>
                <w:bCs/>
              </w:rPr>
            </w:pPr>
          </w:p>
        </w:tc>
        <w:tc>
          <w:tcPr>
            <w:tcW w:w="1006" w:type="dxa"/>
            <w:noWrap w:val="0"/>
            <w:vAlign w:val="top"/>
          </w:tcPr>
          <w:p>
            <w:pPr>
              <w:pStyle w:val="15"/>
              <w:spacing w:line="400" w:lineRule="exact"/>
              <w:jc w:val="center"/>
              <w:rPr>
                <w:rFonts w:eastAsia="方正仿宋_GBK"/>
                <w:bCs/>
              </w:rPr>
            </w:pPr>
          </w:p>
        </w:tc>
        <w:tc>
          <w:tcPr>
            <w:tcW w:w="1199" w:type="dxa"/>
            <w:noWrap w:val="0"/>
            <w:vAlign w:val="center"/>
          </w:tcPr>
          <w:p>
            <w:pPr>
              <w:pStyle w:val="15"/>
              <w:spacing w:line="400" w:lineRule="exact"/>
              <w:jc w:val="center"/>
              <w:rPr>
                <w:rFonts w:eastAsia="方正仿宋_GBK"/>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6" w:hRule="atLeast"/>
          <w:jc w:val="center"/>
        </w:trPr>
        <w:tc>
          <w:tcPr>
            <w:tcW w:w="921" w:type="dxa"/>
            <w:noWrap w:val="0"/>
            <w:vAlign w:val="center"/>
          </w:tcPr>
          <w:p>
            <w:pPr>
              <w:pStyle w:val="15"/>
              <w:spacing w:line="400" w:lineRule="exact"/>
              <w:jc w:val="center"/>
              <w:rPr>
                <w:rFonts w:eastAsia="方正仿宋_GBK"/>
                <w:bCs/>
              </w:rPr>
            </w:pPr>
            <w:r>
              <w:rPr>
                <w:rFonts w:hint="eastAsia" w:eastAsia="方正仿宋_GBK"/>
                <w:bCs/>
              </w:rPr>
              <w:t>3</w:t>
            </w:r>
          </w:p>
        </w:tc>
        <w:tc>
          <w:tcPr>
            <w:tcW w:w="2051" w:type="dxa"/>
            <w:noWrap w:val="0"/>
            <w:vAlign w:val="center"/>
          </w:tcPr>
          <w:p>
            <w:pPr>
              <w:pStyle w:val="15"/>
              <w:spacing w:line="400" w:lineRule="exact"/>
              <w:jc w:val="center"/>
              <w:rPr>
                <w:rFonts w:eastAsia="方正仿宋_GBK"/>
                <w:bCs/>
              </w:rPr>
            </w:pPr>
          </w:p>
        </w:tc>
        <w:tc>
          <w:tcPr>
            <w:tcW w:w="1701" w:type="dxa"/>
            <w:noWrap w:val="0"/>
            <w:vAlign w:val="center"/>
          </w:tcPr>
          <w:p>
            <w:pPr>
              <w:pStyle w:val="15"/>
              <w:spacing w:line="400" w:lineRule="exact"/>
              <w:jc w:val="center"/>
              <w:rPr>
                <w:rFonts w:eastAsia="方正仿宋_GBK"/>
                <w:bCs/>
              </w:rPr>
            </w:pPr>
          </w:p>
        </w:tc>
        <w:tc>
          <w:tcPr>
            <w:tcW w:w="2676" w:type="dxa"/>
            <w:noWrap w:val="0"/>
            <w:vAlign w:val="center"/>
          </w:tcPr>
          <w:p>
            <w:pPr>
              <w:pStyle w:val="15"/>
              <w:spacing w:line="400" w:lineRule="exact"/>
              <w:jc w:val="center"/>
              <w:rPr>
                <w:rFonts w:eastAsia="方正仿宋_GBK"/>
                <w:bCs/>
              </w:rPr>
            </w:pPr>
          </w:p>
        </w:tc>
        <w:tc>
          <w:tcPr>
            <w:tcW w:w="1444" w:type="dxa"/>
            <w:noWrap w:val="0"/>
            <w:vAlign w:val="center"/>
          </w:tcPr>
          <w:p>
            <w:pPr>
              <w:pStyle w:val="15"/>
              <w:spacing w:line="400" w:lineRule="exact"/>
              <w:jc w:val="center"/>
              <w:rPr>
                <w:rFonts w:eastAsia="方正仿宋_GBK"/>
                <w:bCs/>
              </w:rPr>
            </w:pPr>
          </w:p>
        </w:tc>
        <w:tc>
          <w:tcPr>
            <w:tcW w:w="1550" w:type="dxa"/>
            <w:noWrap w:val="0"/>
            <w:vAlign w:val="top"/>
          </w:tcPr>
          <w:p>
            <w:pPr>
              <w:pStyle w:val="15"/>
              <w:spacing w:line="400" w:lineRule="exact"/>
              <w:jc w:val="center"/>
              <w:rPr>
                <w:rFonts w:eastAsia="方正仿宋_GBK"/>
                <w:bCs/>
              </w:rPr>
            </w:pPr>
          </w:p>
        </w:tc>
        <w:tc>
          <w:tcPr>
            <w:tcW w:w="851" w:type="dxa"/>
            <w:noWrap w:val="0"/>
            <w:vAlign w:val="top"/>
          </w:tcPr>
          <w:p>
            <w:pPr>
              <w:pStyle w:val="15"/>
              <w:spacing w:line="400" w:lineRule="exact"/>
              <w:jc w:val="center"/>
              <w:rPr>
                <w:rFonts w:eastAsia="方正仿宋_GBK"/>
                <w:bCs/>
              </w:rPr>
            </w:pPr>
          </w:p>
        </w:tc>
        <w:tc>
          <w:tcPr>
            <w:tcW w:w="992" w:type="dxa"/>
            <w:noWrap w:val="0"/>
            <w:vAlign w:val="top"/>
          </w:tcPr>
          <w:p>
            <w:pPr>
              <w:pStyle w:val="15"/>
              <w:spacing w:line="400" w:lineRule="exact"/>
              <w:jc w:val="center"/>
              <w:rPr>
                <w:rFonts w:eastAsia="方正仿宋_GBK"/>
                <w:bCs/>
              </w:rPr>
            </w:pPr>
          </w:p>
        </w:tc>
        <w:tc>
          <w:tcPr>
            <w:tcW w:w="1006" w:type="dxa"/>
            <w:noWrap w:val="0"/>
            <w:vAlign w:val="top"/>
          </w:tcPr>
          <w:p>
            <w:pPr>
              <w:pStyle w:val="15"/>
              <w:spacing w:line="400" w:lineRule="exact"/>
              <w:jc w:val="center"/>
              <w:rPr>
                <w:rFonts w:eastAsia="方正仿宋_GBK"/>
                <w:bCs/>
              </w:rPr>
            </w:pPr>
          </w:p>
        </w:tc>
        <w:tc>
          <w:tcPr>
            <w:tcW w:w="1199" w:type="dxa"/>
            <w:noWrap w:val="0"/>
            <w:vAlign w:val="center"/>
          </w:tcPr>
          <w:p>
            <w:pPr>
              <w:pStyle w:val="15"/>
              <w:spacing w:line="400" w:lineRule="exact"/>
              <w:jc w:val="center"/>
              <w:rPr>
                <w:rFonts w:eastAsia="方正仿宋_GBK"/>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6" w:hRule="atLeast"/>
          <w:jc w:val="center"/>
        </w:trPr>
        <w:tc>
          <w:tcPr>
            <w:tcW w:w="921" w:type="dxa"/>
            <w:noWrap w:val="0"/>
            <w:vAlign w:val="center"/>
          </w:tcPr>
          <w:p>
            <w:pPr>
              <w:pStyle w:val="15"/>
              <w:spacing w:line="400" w:lineRule="exact"/>
              <w:jc w:val="center"/>
              <w:rPr>
                <w:rFonts w:eastAsia="方正仿宋_GBK"/>
                <w:bCs/>
              </w:rPr>
            </w:pPr>
          </w:p>
        </w:tc>
        <w:tc>
          <w:tcPr>
            <w:tcW w:w="2051" w:type="dxa"/>
            <w:noWrap w:val="0"/>
            <w:vAlign w:val="center"/>
          </w:tcPr>
          <w:p>
            <w:pPr>
              <w:pStyle w:val="15"/>
              <w:spacing w:line="400" w:lineRule="exact"/>
              <w:jc w:val="center"/>
              <w:rPr>
                <w:rFonts w:eastAsia="方正仿宋_GBK"/>
                <w:bCs/>
              </w:rPr>
            </w:pPr>
          </w:p>
        </w:tc>
        <w:tc>
          <w:tcPr>
            <w:tcW w:w="1701" w:type="dxa"/>
            <w:noWrap w:val="0"/>
            <w:vAlign w:val="center"/>
          </w:tcPr>
          <w:p>
            <w:pPr>
              <w:pStyle w:val="15"/>
              <w:spacing w:line="400" w:lineRule="exact"/>
              <w:jc w:val="center"/>
              <w:rPr>
                <w:rFonts w:eastAsia="方正仿宋_GBK"/>
                <w:bCs/>
              </w:rPr>
            </w:pPr>
          </w:p>
        </w:tc>
        <w:tc>
          <w:tcPr>
            <w:tcW w:w="2676" w:type="dxa"/>
            <w:noWrap w:val="0"/>
            <w:vAlign w:val="center"/>
          </w:tcPr>
          <w:p>
            <w:pPr>
              <w:pStyle w:val="15"/>
              <w:spacing w:line="400" w:lineRule="exact"/>
              <w:jc w:val="center"/>
              <w:rPr>
                <w:rFonts w:eastAsia="方正仿宋_GBK"/>
                <w:bCs/>
              </w:rPr>
            </w:pPr>
          </w:p>
        </w:tc>
        <w:tc>
          <w:tcPr>
            <w:tcW w:w="1444" w:type="dxa"/>
            <w:noWrap w:val="0"/>
            <w:vAlign w:val="center"/>
          </w:tcPr>
          <w:p>
            <w:pPr>
              <w:pStyle w:val="15"/>
              <w:spacing w:line="400" w:lineRule="exact"/>
              <w:jc w:val="center"/>
              <w:rPr>
                <w:rFonts w:eastAsia="方正仿宋_GBK"/>
                <w:bCs/>
              </w:rPr>
            </w:pPr>
          </w:p>
        </w:tc>
        <w:tc>
          <w:tcPr>
            <w:tcW w:w="1550" w:type="dxa"/>
            <w:noWrap w:val="0"/>
            <w:vAlign w:val="top"/>
          </w:tcPr>
          <w:p>
            <w:pPr>
              <w:pStyle w:val="15"/>
              <w:spacing w:line="400" w:lineRule="exact"/>
              <w:jc w:val="center"/>
              <w:rPr>
                <w:rFonts w:eastAsia="方正仿宋_GBK"/>
                <w:bCs/>
              </w:rPr>
            </w:pPr>
          </w:p>
        </w:tc>
        <w:tc>
          <w:tcPr>
            <w:tcW w:w="851" w:type="dxa"/>
            <w:noWrap w:val="0"/>
            <w:vAlign w:val="top"/>
          </w:tcPr>
          <w:p>
            <w:pPr>
              <w:pStyle w:val="15"/>
              <w:spacing w:line="400" w:lineRule="exact"/>
              <w:jc w:val="center"/>
              <w:rPr>
                <w:rFonts w:eastAsia="方正仿宋_GBK"/>
                <w:bCs/>
              </w:rPr>
            </w:pPr>
          </w:p>
        </w:tc>
        <w:tc>
          <w:tcPr>
            <w:tcW w:w="992" w:type="dxa"/>
            <w:noWrap w:val="0"/>
            <w:vAlign w:val="top"/>
          </w:tcPr>
          <w:p>
            <w:pPr>
              <w:pStyle w:val="15"/>
              <w:spacing w:line="400" w:lineRule="exact"/>
              <w:jc w:val="center"/>
              <w:rPr>
                <w:rFonts w:eastAsia="方正仿宋_GBK"/>
                <w:bCs/>
              </w:rPr>
            </w:pPr>
          </w:p>
        </w:tc>
        <w:tc>
          <w:tcPr>
            <w:tcW w:w="1006" w:type="dxa"/>
            <w:noWrap w:val="0"/>
            <w:vAlign w:val="top"/>
          </w:tcPr>
          <w:p>
            <w:pPr>
              <w:pStyle w:val="15"/>
              <w:spacing w:line="400" w:lineRule="exact"/>
              <w:jc w:val="center"/>
              <w:rPr>
                <w:rFonts w:eastAsia="方正仿宋_GBK"/>
                <w:bCs/>
              </w:rPr>
            </w:pPr>
          </w:p>
        </w:tc>
        <w:tc>
          <w:tcPr>
            <w:tcW w:w="1199" w:type="dxa"/>
            <w:noWrap w:val="0"/>
            <w:vAlign w:val="center"/>
          </w:tcPr>
          <w:p>
            <w:pPr>
              <w:pStyle w:val="15"/>
              <w:spacing w:line="400" w:lineRule="exact"/>
              <w:jc w:val="center"/>
              <w:rPr>
                <w:rFonts w:eastAsia="方正仿宋_GBK"/>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921" w:type="dxa"/>
            <w:noWrap w:val="0"/>
            <w:vAlign w:val="center"/>
          </w:tcPr>
          <w:p>
            <w:pPr>
              <w:pStyle w:val="15"/>
              <w:spacing w:line="400" w:lineRule="exact"/>
              <w:jc w:val="center"/>
              <w:rPr>
                <w:rFonts w:eastAsia="方正仿宋_GBK"/>
                <w:bCs/>
              </w:rPr>
            </w:pPr>
          </w:p>
        </w:tc>
        <w:tc>
          <w:tcPr>
            <w:tcW w:w="2051" w:type="dxa"/>
            <w:noWrap w:val="0"/>
            <w:vAlign w:val="center"/>
          </w:tcPr>
          <w:p>
            <w:pPr>
              <w:pStyle w:val="15"/>
              <w:spacing w:line="400" w:lineRule="exact"/>
              <w:jc w:val="center"/>
              <w:rPr>
                <w:rFonts w:eastAsia="方正仿宋_GBK"/>
                <w:bCs/>
              </w:rPr>
            </w:pPr>
          </w:p>
        </w:tc>
        <w:tc>
          <w:tcPr>
            <w:tcW w:w="1701" w:type="dxa"/>
            <w:noWrap w:val="0"/>
            <w:vAlign w:val="center"/>
          </w:tcPr>
          <w:p>
            <w:pPr>
              <w:pStyle w:val="15"/>
              <w:spacing w:line="400" w:lineRule="exact"/>
              <w:jc w:val="center"/>
              <w:rPr>
                <w:rFonts w:eastAsia="方正仿宋_GBK"/>
                <w:bCs/>
              </w:rPr>
            </w:pPr>
          </w:p>
        </w:tc>
        <w:tc>
          <w:tcPr>
            <w:tcW w:w="2676" w:type="dxa"/>
            <w:noWrap w:val="0"/>
            <w:vAlign w:val="center"/>
          </w:tcPr>
          <w:p>
            <w:pPr>
              <w:pStyle w:val="15"/>
              <w:spacing w:line="400" w:lineRule="exact"/>
              <w:jc w:val="center"/>
              <w:rPr>
                <w:rFonts w:eastAsia="方正仿宋_GBK"/>
                <w:bCs/>
              </w:rPr>
            </w:pPr>
          </w:p>
        </w:tc>
        <w:tc>
          <w:tcPr>
            <w:tcW w:w="1444" w:type="dxa"/>
            <w:noWrap w:val="0"/>
            <w:vAlign w:val="center"/>
          </w:tcPr>
          <w:p>
            <w:pPr>
              <w:pStyle w:val="15"/>
              <w:spacing w:line="400" w:lineRule="exact"/>
              <w:jc w:val="center"/>
              <w:rPr>
                <w:rFonts w:eastAsia="方正仿宋_GBK"/>
                <w:bCs/>
              </w:rPr>
            </w:pPr>
          </w:p>
        </w:tc>
        <w:tc>
          <w:tcPr>
            <w:tcW w:w="1550" w:type="dxa"/>
            <w:noWrap w:val="0"/>
            <w:vAlign w:val="top"/>
          </w:tcPr>
          <w:p>
            <w:pPr>
              <w:pStyle w:val="15"/>
              <w:spacing w:line="400" w:lineRule="exact"/>
              <w:jc w:val="center"/>
              <w:rPr>
                <w:rFonts w:eastAsia="方正仿宋_GBK"/>
                <w:bCs/>
              </w:rPr>
            </w:pPr>
          </w:p>
        </w:tc>
        <w:tc>
          <w:tcPr>
            <w:tcW w:w="851" w:type="dxa"/>
            <w:noWrap w:val="0"/>
            <w:vAlign w:val="top"/>
          </w:tcPr>
          <w:p>
            <w:pPr>
              <w:pStyle w:val="15"/>
              <w:spacing w:line="400" w:lineRule="exact"/>
              <w:jc w:val="center"/>
              <w:rPr>
                <w:rFonts w:eastAsia="方正仿宋_GBK"/>
                <w:bCs/>
              </w:rPr>
            </w:pPr>
          </w:p>
        </w:tc>
        <w:tc>
          <w:tcPr>
            <w:tcW w:w="992" w:type="dxa"/>
            <w:noWrap w:val="0"/>
            <w:vAlign w:val="top"/>
          </w:tcPr>
          <w:p>
            <w:pPr>
              <w:pStyle w:val="15"/>
              <w:spacing w:line="400" w:lineRule="exact"/>
              <w:jc w:val="center"/>
              <w:rPr>
                <w:rFonts w:eastAsia="方正仿宋_GBK"/>
                <w:bCs/>
              </w:rPr>
            </w:pPr>
          </w:p>
        </w:tc>
        <w:tc>
          <w:tcPr>
            <w:tcW w:w="1006" w:type="dxa"/>
            <w:noWrap w:val="0"/>
            <w:vAlign w:val="top"/>
          </w:tcPr>
          <w:p>
            <w:pPr>
              <w:pStyle w:val="15"/>
              <w:spacing w:line="400" w:lineRule="exact"/>
              <w:jc w:val="center"/>
              <w:rPr>
                <w:rFonts w:eastAsia="方正仿宋_GBK"/>
                <w:bCs/>
              </w:rPr>
            </w:pPr>
          </w:p>
        </w:tc>
        <w:tc>
          <w:tcPr>
            <w:tcW w:w="1199" w:type="dxa"/>
            <w:noWrap w:val="0"/>
            <w:vAlign w:val="center"/>
          </w:tcPr>
          <w:p>
            <w:pPr>
              <w:pStyle w:val="15"/>
              <w:spacing w:line="400" w:lineRule="exact"/>
              <w:jc w:val="center"/>
              <w:rPr>
                <w:rFonts w:eastAsia="方正仿宋_GBK"/>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921" w:type="dxa"/>
            <w:noWrap w:val="0"/>
            <w:vAlign w:val="center"/>
          </w:tcPr>
          <w:p>
            <w:pPr>
              <w:pStyle w:val="15"/>
              <w:spacing w:line="400" w:lineRule="exact"/>
              <w:jc w:val="center"/>
              <w:rPr>
                <w:rFonts w:eastAsia="方正仿宋_GBK"/>
                <w:bCs/>
              </w:rPr>
            </w:pPr>
          </w:p>
        </w:tc>
        <w:tc>
          <w:tcPr>
            <w:tcW w:w="2051" w:type="dxa"/>
            <w:noWrap w:val="0"/>
            <w:vAlign w:val="center"/>
          </w:tcPr>
          <w:p>
            <w:pPr>
              <w:pStyle w:val="15"/>
              <w:spacing w:line="400" w:lineRule="exact"/>
              <w:jc w:val="center"/>
              <w:rPr>
                <w:rFonts w:eastAsia="方正仿宋_GBK"/>
                <w:bCs/>
              </w:rPr>
            </w:pPr>
          </w:p>
        </w:tc>
        <w:tc>
          <w:tcPr>
            <w:tcW w:w="1701" w:type="dxa"/>
            <w:noWrap w:val="0"/>
            <w:vAlign w:val="center"/>
          </w:tcPr>
          <w:p>
            <w:pPr>
              <w:pStyle w:val="15"/>
              <w:spacing w:line="400" w:lineRule="exact"/>
              <w:jc w:val="center"/>
              <w:rPr>
                <w:rFonts w:eastAsia="方正仿宋_GBK"/>
                <w:bCs/>
              </w:rPr>
            </w:pPr>
          </w:p>
        </w:tc>
        <w:tc>
          <w:tcPr>
            <w:tcW w:w="2676" w:type="dxa"/>
            <w:noWrap w:val="0"/>
            <w:vAlign w:val="center"/>
          </w:tcPr>
          <w:p>
            <w:pPr>
              <w:pStyle w:val="15"/>
              <w:spacing w:line="400" w:lineRule="exact"/>
              <w:jc w:val="center"/>
              <w:rPr>
                <w:rFonts w:eastAsia="方正仿宋_GBK"/>
                <w:bCs/>
              </w:rPr>
            </w:pPr>
          </w:p>
        </w:tc>
        <w:tc>
          <w:tcPr>
            <w:tcW w:w="1444" w:type="dxa"/>
            <w:noWrap w:val="0"/>
            <w:vAlign w:val="center"/>
          </w:tcPr>
          <w:p>
            <w:pPr>
              <w:pStyle w:val="15"/>
              <w:spacing w:line="400" w:lineRule="exact"/>
              <w:jc w:val="center"/>
              <w:rPr>
                <w:rFonts w:eastAsia="方正仿宋_GBK"/>
                <w:bCs/>
              </w:rPr>
            </w:pPr>
          </w:p>
        </w:tc>
        <w:tc>
          <w:tcPr>
            <w:tcW w:w="1550" w:type="dxa"/>
            <w:noWrap w:val="0"/>
            <w:vAlign w:val="top"/>
          </w:tcPr>
          <w:p>
            <w:pPr>
              <w:pStyle w:val="15"/>
              <w:spacing w:line="400" w:lineRule="exact"/>
              <w:jc w:val="center"/>
              <w:rPr>
                <w:rFonts w:eastAsia="方正仿宋_GBK"/>
                <w:bCs/>
              </w:rPr>
            </w:pPr>
          </w:p>
        </w:tc>
        <w:tc>
          <w:tcPr>
            <w:tcW w:w="851" w:type="dxa"/>
            <w:noWrap w:val="0"/>
            <w:vAlign w:val="top"/>
          </w:tcPr>
          <w:p>
            <w:pPr>
              <w:pStyle w:val="15"/>
              <w:spacing w:line="400" w:lineRule="exact"/>
              <w:jc w:val="center"/>
              <w:rPr>
                <w:rFonts w:eastAsia="方正仿宋_GBK"/>
                <w:bCs/>
              </w:rPr>
            </w:pPr>
          </w:p>
        </w:tc>
        <w:tc>
          <w:tcPr>
            <w:tcW w:w="992" w:type="dxa"/>
            <w:noWrap w:val="0"/>
            <w:vAlign w:val="top"/>
          </w:tcPr>
          <w:p>
            <w:pPr>
              <w:pStyle w:val="15"/>
              <w:spacing w:line="400" w:lineRule="exact"/>
              <w:jc w:val="center"/>
              <w:rPr>
                <w:rFonts w:eastAsia="方正仿宋_GBK"/>
                <w:bCs/>
              </w:rPr>
            </w:pPr>
          </w:p>
        </w:tc>
        <w:tc>
          <w:tcPr>
            <w:tcW w:w="1006" w:type="dxa"/>
            <w:noWrap w:val="0"/>
            <w:vAlign w:val="top"/>
          </w:tcPr>
          <w:p>
            <w:pPr>
              <w:pStyle w:val="15"/>
              <w:spacing w:line="400" w:lineRule="exact"/>
              <w:jc w:val="center"/>
              <w:rPr>
                <w:rFonts w:eastAsia="方正仿宋_GBK"/>
                <w:bCs/>
              </w:rPr>
            </w:pPr>
          </w:p>
        </w:tc>
        <w:tc>
          <w:tcPr>
            <w:tcW w:w="1199" w:type="dxa"/>
            <w:noWrap w:val="0"/>
            <w:vAlign w:val="center"/>
          </w:tcPr>
          <w:p>
            <w:pPr>
              <w:pStyle w:val="15"/>
              <w:spacing w:line="400" w:lineRule="exact"/>
              <w:jc w:val="center"/>
              <w:rPr>
                <w:rFonts w:eastAsia="方正仿宋_GBK"/>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6" w:hRule="atLeast"/>
          <w:jc w:val="center"/>
        </w:trPr>
        <w:tc>
          <w:tcPr>
            <w:tcW w:w="921" w:type="dxa"/>
            <w:noWrap w:val="0"/>
            <w:vAlign w:val="center"/>
          </w:tcPr>
          <w:p>
            <w:pPr>
              <w:pStyle w:val="15"/>
              <w:spacing w:line="400" w:lineRule="exact"/>
              <w:jc w:val="center"/>
              <w:rPr>
                <w:rFonts w:eastAsia="方正仿宋_GBK"/>
                <w:bCs/>
              </w:rPr>
            </w:pPr>
          </w:p>
        </w:tc>
        <w:tc>
          <w:tcPr>
            <w:tcW w:w="2051" w:type="dxa"/>
            <w:noWrap w:val="0"/>
            <w:vAlign w:val="center"/>
          </w:tcPr>
          <w:p>
            <w:pPr>
              <w:pStyle w:val="15"/>
              <w:spacing w:line="400" w:lineRule="exact"/>
              <w:jc w:val="center"/>
              <w:rPr>
                <w:rFonts w:eastAsia="方正仿宋_GBK"/>
                <w:bCs/>
              </w:rPr>
            </w:pPr>
          </w:p>
        </w:tc>
        <w:tc>
          <w:tcPr>
            <w:tcW w:w="1701" w:type="dxa"/>
            <w:noWrap w:val="0"/>
            <w:vAlign w:val="center"/>
          </w:tcPr>
          <w:p>
            <w:pPr>
              <w:pStyle w:val="15"/>
              <w:spacing w:line="400" w:lineRule="exact"/>
              <w:jc w:val="center"/>
              <w:rPr>
                <w:rFonts w:eastAsia="方正仿宋_GBK"/>
                <w:bCs/>
              </w:rPr>
            </w:pPr>
          </w:p>
        </w:tc>
        <w:tc>
          <w:tcPr>
            <w:tcW w:w="2676" w:type="dxa"/>
            <w:noWrap w:val="0"/>
            <w:vAlign w:val="center"/>
          </w:tcPr>
          <w:p>
            <w:pPr>
              <w:pStyle w:val="15"/>
              <w:spacing w:line="400" w:lineRule="exact"/>
              <w:jc w:val="center"/>
              <w:rPr>
                <w:rFonts w:eastAsia="方正仿宋_GBK"/>
                <w:bCs/>
              </w:rPr>
            </w:pPr>
          </w:p>
        </w:tc>
        <w:tc>
          <w:tcPr>
            <w:tcW w:w="1444" w:type="dxa"/>
            <w:noWrap w:val="0"/>
            <w:vAlign w:val="center"/>
          </w:tcPr>
          <w:p>
            <w:pPr>
              <w:pStyle w:val="15"/>
              <w:spacing w:line="400" w:lineRule="exact"/>
              <w:jc w:val="center"/>
              <w:rPr>
                <w:rFonts w:eastAsia="方正仿宋_GBK"/>
                <w:bCs/>
              </w:rPr>
            </w:pPr>
          </w:p>
        </w:tc>
        <w:tc>
          <w:tcPr>
            <w:tcW w:w="1550" w:type="dxa"/>
            <w:noWrap w:val="0"/>
            <w:vAlign w:val="top"/>
          </w:tcPr>
          <w:p>
            <w:pPr>
              <w:pStyle w:val="15"/>
              <w:spacing w:line="400" w:lineRule="exact"/>
              <w:jc w:val="center"/>
              <w:rPr>
                <w:rFonts w:eastAsia="方正仿宋_GBK"/>
                <w:bCs/>
              </w:rPr>
            </w:pPr>
          </w:p>
        </w:tc>
        <w:tc>
          <w:tcPr>
            <w:tcW w:w="851" w:type="dxa"/>
            <w:noWrap w:val="0"/>
            <w:vAlign w:val="top"/>
          </w:tcPr>
          <w:p>
            <w:pPr>
              <w:pStyle w:val="15"/>
              <w:spacing w:line="400" w:lineRule="exact"/>
              <w:jc w:val="center"/>
              <w:rPr>
                <w:rFonts w:eastAsia="方正仿宋_GBK"/>
                <w:bCs/>
              </w:rPr>
            </w:pPr>
          </w:p>
        </w:tc>
        <w:tc>
          <w:tcPr>
            <w:tcW w:w="992" w:type="dxa"/>
            <w:noWrap w:val="0"/>
            <w:vAlign w:val="top"/>
          </w:tcPr>
          <w:p>
            <w:pPr>
              <w:pStyle w:val="15"/>
              <w:spacing w:line="400" w:lineRule="exact"/>
              <w:jc w:val="center"/>
              <w:rPr>
                <w:rFonts w:eastAsia="方正仿宋_GBK"/>
                <w:bCs/>
              </w:rPr>
            </w:pPr>
          </w:p>
        </w:tc>
        <w:tc>
          <w:tcPr>
            <w:tcW w:w="1006" w:type="dxa"/>
            <w:noWrap w:val="0"/>
            <w:vAlign w:val="top"/>
          </w:tcPr>
          <w:p>
            <w:pPr>
              <w:pStyle w:val="15"/>
              <w:spacing w:line="400" w:lineRule="exact"/>
              <w:jc w:val="center"/>
              <w:rPr>
                <w:rFonts w:eastAsia="方正仿宋_GBK"/>
                <w:bCs/>
              </w:rPr>
            </w:pPr>
          </w:p>
        </w:tc>
        <w:tc>
          <w:tcPr>
            <w:tcW w:w="1199" w:type="dxa"/>
            <w:noWrap w:val="0"/>
            <w:vAlign w:val="center"/>
          </w:tcPr>
          <w:p>
            <w:pPr>
              <w:pStyle w:val="15"/>
              <w:spacing w:line="400" w:lineRule="exact"/>
              <w:jc w:val="center"/>
              <w:rPr>
                <w:rFonts w:eastAsia="方正仿宋_GBK"/>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921" w:type="dxa"/>
            <w:noWrap w:val="0"/>
            <w:vAlign w:val="center"/>
          </w:tcPr>
          <w:p>
            <w:pPr>
              <w:pStyle w:val="15"/>
              <w:spacing w:line="400" w:lineRule="exact"/>
              <w:jc w:val="center"/>
              <w:rPr>
                <w:rFonts w:eastAsia="方正仿宋_GBK"/>
                <w:bCs/>
              </w:rPr>
            </w:pPr>
          </w:p>
        </w:tc>
        <w:tc>
          <w:tcPr>
            <w:tcW w:w="2051" w:type="dxa"/>
            <w:noWrap w:val="0"/>
            <w:vAlign w:val="center"/>
          </w:tcPr>
          <w:p>
            <w:pPr>
              <w:pStyle w:val="15"/>
              <w:spacing w:line="400" w:lineRule="exact"/>
              <w:jc w:val="center"/>
              <w:rPr>
                <w:rFonts w:eastAsia="方正仿宋_GBK"/>
                <w:bCs/>
              </w:rPr>
            </w:pPr>
          </w:p>
        </w:tc>
        <w:tc>
          <w:tcPr>
            <w:tcW w:w="1701" w:type="dxa"/>
            <w:noWrap w:val="0"/>
            <w:vAlign w:val="center"/>
          </w:tcPr>
          <w:p>
            <w:pPr>
              <w:pStyle w:val="15"/>
              <w:spacing w:line="400" w:lineRule="exact"/>
              <w:jc w:val="center"/>
              <w:rPr>
                <w:rFonts w:eastAsia="方正仿宋_GBK"/>
                <w:bCs/>
              </w:rPr>
            </w:pPr>
          </w:p>
        </w:tc>
        <w:tc>
          <w:tcPr>
            <w:tcW w:w="2676" w:type="dxa"/>
            <w:noWrap w:val="0"/>
            <w:vAlign w:val="center"/>
          </w:tcPr>
          <w:p>
            <w:pPr>
              <w:pStyle w:val="15"/>
              <w:spacing w:line="400" w:lineRule="exact"/>
              <w:jc w:val="center"/>
              <w:rPr>
                <w:rFonts w:eastAsia="方正仿宋_GBK"/>
                <w:bCs/>
              </w:rPr>
            </w:pPr>
          </w:p>
        </w:tc>
        <w:tc>
          <w:tcPr>
            <w:tcW w:w="1444" w:type="dxa"/>
            <w:noWrap w:val="0"/>
            <w:vAlign w:val="center"/>
          </w:tcPr>
          <w:p>
            <w:pPr>
              <w:pStyle w:val="15"/>
              <w:spacing w:line="400" w:lineRule="exact"/>
              <w:jc w:val="center"/>
              <w:rPr>
                <w:rFonts w:eastAsia="方正仿宋_GBK"/>
                <w:bCs/>
              </w:rPr>
            </w:pPr>
          </w:p>
        </w:tc>
        <w:tc>
          <w:tcPr>
            <w:tcW w:w="1550" w:type="dxa"/>
            <w:noWrap w:val="0"/>
            <w:vAlign w:val="top"/>
          </w:tcPr>
          <w:p>
            <w:pPr>
              <w:pStyle w:val="15"/>
              <w:spacing w:line="400" w:lineRule="exact"/>
              <w:jc w:val="center"/>
              <w:rPr>
                <w:rFonts w:eastAsia="方正仿宋_GBK"/>
                <w:bCs/>
              </w:rPr>
            </w:pPr>
          </w:p>
        </w:tc>
        <w:tc>
          <w:tcPr>
            <w:tcW w:w="851" w:type="dxa"/>
            <w:noWrap w:val="0"/>
            <w:vAlign w:val="top"/>
          </w:tcPr>
          <w:p>
            <w:pPr>
              <w:pStyle w:val="15"/>
              <w:spacing w:line="400" w:lineRule="exact"/>
              <w:jc w:val="center"/>
              <w:rPr>
                <w:rFonts w:eastAsia="方正仿宋_GBK"/>
                <w:bCs/>
              </w:rPr>
            </w:pPr>
          </w:p>
        </w:tc>
        <w:tc>
          <w:tcPr>
            <w:tcW w:w="992" w:type="dxa"/>
            <w:noWrap w:val="0"/>
            <w:vAlign w:val="top"/>
          </w:tcPr>
          <w:p>
            <w:pPr>
              <w:pStyle w:val="15"/>
              <w:spacing w:line="400" w:lineRule="exact"/>
              <w:jc w:val="center"/>
              <w:rPr>
                <w:rFonts w:eastAsia="方正仿宋_GBK"/>
                <w:bCs/>
              </w:rPr>
            </w:pPr>
          </w:p>
        </w:tc>
        <w:tc>
          <w:tcPr>
            <w:tcW w:w="1006" w:type="dxa"/>
            <w:noWrap w:val="0"/>
            <w:vAlign w:val="top"/>
          </w:tcPr>
          <w:p>
            <w:pPr>
              <w:pStyle w:val="15"/>
              <w:spacing w:line="400" w:lineRule="exact"/>
              <w:jc w:val="center"/>
              <w:rPr>
                <w:rFonts w:eastAsia="方正仿宋_GBK"/>
                <w:bCs/>
              </w:rPr>
            </w:pPr>
          </w:p>
        </w:tc>
        <w:tc>
          <w:tcPr>
            <w:tcW w:w="1199" w:type="dxa"/>
            <w:noWrap w:val="0"/>
            <w:vAlign w:val="center"/>
          </w:tcPr>
          <w:p>
            <w:pPr>
              <w:pStyle w:val="15"/>
              <w:spacing w:line="400" w:lineRule="exact"/>
              <w:jc w:val="center"/>
              <w:rPr>
                <w:rFonts w:eastAsia="方正仿宋_GBK"/>
                <w:bCs/>
              </w:rPr>
            </w:pPr>
          </w:p>
        </w:tc>
      </w:tr>
    </w:tbl>
    <w:p>
      <w:pPr>
        <w:pStyle w:val="4"/>
        <w:bidi w:val="0"/>
        <w:rPr>
          <w:rFonts w:hint="eastAsia" w:ascii="方正仿宋_GBK" w:hAnsi="方正仿宋_GBK" w:eastAsia="方正仿宋_GBK" w:cs="方正仿宋_GBK"/>
          <w:color w:val="auto"/>
          <w:sz w:val="21"/>
          <w:szCs w:val="21"/>
        </w:rPr>
        <w:sectPr>
          <w:footerReference r:id="rId8" w:type="default"/>
          <w:pgSz w:w="16840" w:h="11907" w:orient="landscape"/>
          <w:pgMar w:top="1417" w:right="1531" w:bottom="1417" w:left="1531" w:header="851" w:footer="1247" w:gutter="227"/>
          <w:pgNumType w:fmt="numberInDash"/>
          <w:cols w:space="720" w:num="1"/>
          <w:docGrid w:type="lines" w:linePitch="579" w:charSpace="0"/>
        </w:sectPr>
      </w:pPr>
    </w:p>
    <w:p>
      <w:pPr>
        <w:rPr>
          <w:rFonts w:hint="eastAsia" w:ascii="黑体" w:hAnsi="黑体" w:eastAsia="黑体"/>
          <w:sz w:val="32"/>
          <w:szCs w:val="32"/>
          <w:lang w:val="en-US" w:eastAsia="zh-CN"/>
        </w:rPr>
      </w:pPr>
      <w:r>
        <w:rPr>
          <w:rFonts w:hint="eastAsia" w:ascii="黑体" w:hAnsi="黑体" w:eastAsia="黑体"/>
          <w:sz w:val="32"/>
          <w:szCs w:val="32"/>
        </w:rPr>
        <w:pict>
          <v:shape id="图片 6" o:spid="_x0000_s1026" o:spt="75" alt="附件3-江苏省安委会办公室江苏省消委会办公室关于开展消防安全集中除患攻坚大整治行动的通告_00" type="#_x0000_t75" style="position:absolute;left:0pt;margin-left:-27pt;margin-top:4.55pt;height:672.3pt;width:486.6pt;z-index:-251657216;mso-width-relative:page;mso-height-relative:page;" filled="f" o:preferrelative="t" stroked="f" coordsize="21600,21600">
            <v:path/>
            <v:fill on="f" focussize="0,0"/>
            <v:stroke on="f"/>
            <v:imagedata r:id="rId12" o:title="附件3-江苏省安委会办公室江苏省消委会办公室关于开展消防安全集中除患攻坚大整治行动的通告_00"/>
            <o:lock v:ext="edit" aspectratio="t"/>
          </v:shape>
        </w:pict>
      </w:r>
      <w:r>
        <w:rPr>
          <w:rFonts w:hint="eastAsia" w:ascii="黑体" w:hAnsi="黑体" w:eastAsia="黑体"/>
          <w:sz w:val="32"/>
          <w:szCs w:val="32"/>
        </w:rPr>
        <w:t>附件</w:t>
      </w:r>
      <w:r>
        <w:rPr>
          <w:rFonts w:hint="eastAsia" w:ascii="黑体" w:hAnsi="黑体" w:eastAsia="黑体"/>
          <w:sz w:val="32"/>
          <w:szCs w:val="32"/>
          <w:lang w:val="en-US" w:eastAsia="zh-CN"/>
        </w:rPr>
        <w:t>3</w:t>
      </w:r>
    </w:p>
    <w:p>
      <w:pPr>
        <w:pStyle w:val="4"/>
        <w:bidi w:val="0"/>
        <w:rPr>
          <w:rFonts w:hint="eastAsia" w:eastAsia="仿宋_GB2312"/>
          <w:lang w:eastAsia="zh-CN"/>
        </w:rPr>
      </w:pPr>
    </w:p>
    <w:p>
      <w:pPr>
        <w:pStyle w:val="4"/>
        <w:bidi w:val="0"/>
      </w:pPr>
    </w:p>
    <w:p>
      <w:pPr>
        <w:pStyle w:val="15"/>
        <w:spacing w:line="600" w:lineRule="exact"/>
        <w:rPr>
          <w:rFonts w:ascii="方正黑体_GBK" w:hAnsi="方正黑体_GBK" w:eastAsia="方正黑体_GBK" w:cs="方正黑体_GBK"/>
          <w:color w:val="auto"/>
          <w:sz w:val="32"/>
        </w:rPr>
      </w:pPr>
      <w:r>
        <w:br w:type="page"/>
      </w:r>
      <w:r>
        <w:rPr>
          <w:rFonts w:hint="eastAsia" w:ascii="方正黑体_GBK" w:hAnsi="方正黑体_GBK" w:eastAsia="方正黑体_GBK" w:cs="方正黑体_GBK"/>
          <w:color w:val="auto"/>
          <w:sz w:val="32"/>
        </w:rPr>
        <w:t>附件</w:t>
      </w:r>
      <w:r>
        <w:rPr>
          <w:rFonts w:ascii="方正黑体_GBK" w:hAnsi="方正黑体_GBK" w:eastAsia="方正黑体_GBK" w:cs="方正黑体_GBK"/>
          <w:color w:val="auto"/>
          <w:sz w:val="32"/>
        </w:rPr>
        <w:t>4</w:t>
      </w:r>
    </w:p>
    <w:p>
      <w:pPr>
        <w:spacing w:line="590" w:lineRule="exact"/>
        <w:jc w:val="center"/>
        <w:rPr>
          <w:rFonts w:eastAsia="黑体"/>
          <w:kern w:val="32"/>
          <w:sz w:val="32"/>
          <w:szCs w:val="32"/>
        </w:rPr>
      </w:pPr>
      <w:r>
        <w:rPr>
          <w:rFonts w:hint="eastAsia" w:eastAsia="方正小标宋_GBK"/>
          <w:sz w:val="44"/>
          <w:szCs w:val="44"/>
        </w:rPr>
        <w:t>三类重点场所消防安全整治指南</w:t>
      </w:r>
    </w:p>
    <w:p>
      <w:pPr>
        <w:pStyle w:val="2"/>
        <w:spacing w:before="0" w:line="590" w:lineRule="exact"/>
        <w:jc w:val="center"/>
        <w:rPr>
          <w:rFonts w:ascii="楷体_GB2312" w:eastAsia="楷体_GB2312"/>
        </w:rPr>
      </w:pPr>
      <w:r>
        <w:rPr>
          <w:rFonts w:hint="eastAsia" w:ascii="楷体_GB2312" w:eastAsia="楷体_GB2312"/>
        </w:rPr>
        <w:t>（省安委会办公室  省消委会办公室）</w:t>
      </w:r>
    </w:p>
    <w:p>
      <w:pPr>
        <w:pStyle w:val="2"/>
        <w:keepNext w:val="0"/>
        <w:keepLines w:val="0"/>
        <w:pageBreakBefore w:val="0"/>
        <w:widowControl w:val="0"/>
        <w:kinsoku/>
        <w:wordWrap/>
        <w:overflowPunct/>
        <w:topLinePunct w:val="0"/>
        <w:autoSpaceDE/>
        <w:autoSpaceDN/>
        <w:bidi w:val="0"/>
        <w:adjustRightInd/>
        <w:snapToGrid/>
        <w:spacing w:before="0" w:line="570" w:lineRule="exact"/>
        <w:ind w:firstLine="560" w:firstLineChars="200"/>
        <w:jc w:val="center"/>
        <w:textAlignment w:val="auto"/>
        <w:rPr>
          <w:rFonts w:ascii="楷体_GB2312" w:eastAsia="楷体_GB2312"/>
        </w:rPr>
      </w:pPr>
    </w:p>
    <w:p>
      <w:pPr>
        <w:pStyle w:val="10"/>
        <w:bidi w:val="0"/>
      </w:pPr>
      <w:r>
        <w:rPr>
          <w:rFonts w:hint="eastAsia"/>
        </w:rPr>
        <w:t>为指导各地做好“九小场所”、多业态混合生产经营场所、人员密集场所的消防安全整治工作，制定以下指南：</w:t>
      </w:r>
    </w:p>
    <w:p>
      <w:pPr>
        <w:pStyle w:val="13"/>
        <w:bidi w:val="0"/>
      </w:pPr>
      <w:r>
        <w:rPr>
          <w:rFonts w:hint="eastAsia"/>
        </w:rPr>
        <w:t>一、消防安全基本要求</w:t>
      </w:r>
    </w:p>
    <w:p>
      <w:pPr>
        <w:pStyle w:val="14"/>
        <w:bidi w:val="0"/>
      </w:pPr>
      <w:r>
        <w:rPr>
          <w:rFonts w:hint="eastAsia"/>
        </w:rPr>
        <w:t>（一）消防安全责任制落实</w:t>
      </w:r>
    </w:p>
    <w:p>
      <w:pPr>
        <w:pStyle w:val="10"/>
        <w:bidi w:val="0"/>
      </w:pPr>
      <w:r>
        <w:t>1.</w:t>
      </w:r>
      <w:r>
        <w:rPr>
          <w:rFonts w:hint="eastAsia"/>
        </w:rPr>
        <w:t>应当明确消防安全责任。场所的法定代表人、主要负责人或实际控制人应当是场所的消防安全第一责任人。场所应当明确逐级和各岗位消防安全责任。具有承包、租赁或委托关系的场所应当在合同中明确各方的消防安全管理责任和消防设施、器材设置、维护保养责任，并确定责任人对共用的疏散通道、安全出口、建筑消防设施和消防车通道进行统一管理。</w:t>
      </w:r>
    </w:p>
    <w:p>
      <w:pPr>
        <w:pStyle w:val="10"/>
        <w:bidi w:val="0"/>
      </w:pPr>
      <w:r>
        <w:t>2.</w:t>
      </w:r>
      <w:r>
        <w:rPr>
          <w:rFonts w:hint="eastAsia"/>
        </w:rPr>
        <w:t>应当履行消防安全职责。应当根据生产经营特点，建立消防安全制度、消防安全操作规程，灭火和应急疏散预案。应当按标准配置消防设施器材，设置消防安全标志，并定期组织检验、维修和管理，确保完好有效。应保持防火门、防火卷帘等防火分隔设施处于正常状态。应每月开展防火检查，及时消除火灾隐患。公众聚集场所应在营业期间每</w:t>
      </w:r>
      <w:r>
        <w:t>2</w:t>
      </w:r>
      <w:r>
        <w:rPr>
          <w:rFonts w:hint="eastAsia"/>
        </w:rPr>
        <w:t>小时进行一次防火巡查。防火巡查、检查时，应填写巡查、检查记录，巡查和检查人员及其主管人员应在记录上签名。</w:t>
      </w:r>
    </w:p>
    <w:p>
      <w:pPr>
        <w:pStyle w:val="10"/>
        <w:bidi w:val="0"/>
      </w:pPr>
      <w:r>
        <w:t>3.</w:t>
      </w:r>
      <w:r>
        <w:rPr>
          <w:rFonts w:hint="eastAsia"/>
        </w:rPr>
        <w:t>应当组织教育培训演练。应当组织开展多种形式经常性消防宣传教育。应对新入职人员开展岗前消防安全培训。托儿所、幼儿园、寄宿制学校、校外培训机构应当对学生和儿童进行消防安全常识教育。人员密集场所应至少每半年开展一次全员消防安全培训。各类场所应当至少每年组织一次有针对性的消防演练，宾馆、商场、集贸市场、公共娱乐场所应至少每半年组织一次消防演练。</w:t>
      </w:r>
    </w:p>
    <w:p>
      <w:pPr>
        <w:pStyle w:val="10"/>
        <w:bidi w:val="0"/>
      </w:pPr>
      <w:r>
        <w:t>4.</w:t>
      </w:r>
      <w:r>
        <w:rPr>
          <w:rFonts w:hint="eastAsia"/>
        </w:rPr>
        <w:t>应当开展消防宣传提示。人员密集场所应当在醒目位置设置视频、警示牌或者采用广播等形式对公众提示下列消防安全事项：一是向公众提示所在场所的火灾危险性；二是提示所在场所安全逃生路线、安全出口的具体位置以及遇到火灾等紧急情况如何正确逃生、自救方法；三是提示所在场所内简易防护面罩、手电筒、灭火器等灭火、逃生设备器材的具体位置和使用方法。</w:t>
      </w:r>
    </w:p>
    <w:p>
      <w:pPr>
        <w:pStyle w:val="14"/>
        <w:bidi w:val="0"/>
      </w:pPr>
      <w:r>
        <w:rPr>
          <w:rFonts w:hint="eastAsia"/>
        </w:rPr>
        <w:t>（二）消防安全基本条件</w:t>
      </w:r>
    </w:p>
    <w:p>
      <w:pPr>
        <w:pStyle w:val="10"/>
        <w:bidi w:val="0"/>
      </w:pPr>
      <w:r>
        <w:t>5.</w:t>
      </w:r>
      <w:r>
        <w:rPr>
          <w:rFonts w:hint="eastAsia"/>
        </w:rPr>
        <w:t>应当符合耐火等级。易燃易爆危险品销售场所建筑物耐火等级不应低于二级，其他场所建筑物的耐火等级不宜低于二级，确有困难时，可采用三、四级耐火等级的建筑，但应符合国家消防技术标准相关规定。</w:t>
      </w:r>
    </w:p>
    <w:p>
      <w:pPr>
        <w:pStyle w:val="10"/>
        <w:bidi w:val="0"/>
      </w:pPr>
      <w:r>
        <w:t>6.</w:t>
      </w:r>
      <w:r>
        <w:rPr>
          <w:rFonts w:hint="eastAsia"/>
        </w:rPr>
        <w:t>应当严格场所设置。设置在地下的公共娱乐场所不应设在地下二层及二层以下，当布置在地下一层时，地下一层地面与室外出入口地坪的高差不应大于</w:t>
      </w:r>
      <w:r>
        <w:t>10</w:t>
      </w:r>
      <w:r>
        <w:rPr>
          <w:rFonts w:hint="eastAsia"/>
        </w:rPr>
        <w:t>米。易燃易爆危险品销售场所、甲乙类生产加工企业、医院的住院部分、养老院当中的生活用房等场所严禁设在地下和半地下。托儿所、幼儿园、寄宿制学校、校外培训机构当中的儿童活动场所不应设置在地下或半地下，也不应设置在四层及以上的楼层。经营、存放和使用甲、乙类火灾危险性物品的商店、作坊和储存间，严禁附设在民用建筑内。民用建筑内除为满足民用建筑使用功能所设置的附属库房外，不应设置生产车间和其他库房。</w:t>
      </w:r>
    </w:p>
    <w:p>
      <w:pPr>
        <w:pStyle w:val="10"/>
        <w:bidi w:val="0"/>
      </w:pPr>
      <w:r>
        <w:t>7.</w:t>
      </w:r>
      <w:r>
        <w:rPr>
          <w:rFonts w:hint="eastAsia"/>
        </w:rPr>
        <w:t>应当实施防火分隔。附设在非住宅民用建筑内的医院，养老院，托儿所、幼儿园、寄宿制学校、校外培训机构当中的儿童活动场所，应采用耐火极限不低于</w:t>
      </w:r>
      <w:r>
        <w:t>2</w:t>
      </w:r>
      <w:r>
        <w:rPr>
          <w:rFonts w:hint="eastAsia"/>
        </w:rPr>
        <w:t>小时的防火隔墙和</w:t>
      </w:r>
      <w:r>
        <w:t>1</w:t>
      </w:r>
      <w:r>
        <w:rPr>
          <w:rFonts w:hint="eastAsia"/>
        </w:rPr>
        <w:t>小时楼板与其他场所隔开，墙上必须设置的门窗应采用乙级防火门窗。经营性场所与住宅位于同一建筑时，应采用耐火极限不低于</w:t>
      </w:r>
      <w:r>
        <w:t>2</w:t>
      </w:r>
      <w:r>
        <w:rPr>
          <w:rFonts w:hint="eastAsia"/>
        </w:rPr>
        <w:t>小时且无门窗洞口的不燃烧体墙和耐火极限不低于</w:t>
      </w:r>
      <w:r>
        <w:t>1.5</w:t>
      </w:r>
      <w:r>
        <w:rPr>
          <w:rFonts w:hint="eastAsia"/>
        </w:rPr>
        <w:t>小时的楼板与居住部分完全分隔，且不应与居住部分共用安全出口和疏散楼梯。</w:t>
      </w:r>
    </w:p>
    <w:p>
      <w:pPr>
        <w:pStyle w:val="10"/>
        <w:bidi w:val="0"/>
      </w:pPr>
      <w:r>
        <w:t>8.</w:t>
      </w:r>
      <w:r>
        <w:rPr>
          <w:rFonts w:hint="eastAsia"/>
        </w:rPr>
        <w:t>应当设置消防设施。商场、宾馆、饭店、公共娱乐场所、医院、托儿所、幼儿园、寄宿制学校、校外培训机构等场所应设置消防软管卷盘或轻便消防水龙、消防应急照明和灯光疏散指示标志。应配置相适应的灭火器。不满足火灾自动报警系统和自动喷水灭火系统设置条件的场所，宜设置独立式感烟火灾探测报警器和局部应用自动喷水灭火系统。建筑面积大于</w:t>
      </w:r>
      <w:r>
        <w:t>1000</w:t>
      </w:r>
      <w:r>
        <w:rPr>
          <w:rFonts w:hint="eastAsia"/>
        </w:rPr>
        <w:t>平方米的餐饮场所烹饪操作间的排油烟罩及烹饪部位应设置自动灭火装置，并应在燃气或燃油管道上设置与自动灭火装置联动的自动切断装置。</w:t>
      </w:r>
    </w:p>
    <w:p>
      <w:pPr>
        <w:pStyle w:val="14"/>
        <w:bidi w:val="0"/>
      </w:pPr>
      <w:r>
        <w:rPr>
          <w:rFonts w:hint="eastAsia"/>
        </w:rPr>
        <w:t>（三）用火用电安全管理</w:t>
      </w:r>
    </w:p>
    <w:p>
      <w:pPr>
        <w:pStyle w:val="10"/>
        <w:bidi w:val="0"/>
      </w:pPr>
      <w:r>
        <w:t>9.</w:t>
      </w:r>
      <w:r>
        <w:rPr>
          <w:rFonts w:hint="eastAsia"/>
        </w:rPr>
        <w:t>应当规范明火使用。不得在具有火灾、爆炸危险的场所使用明火。公共娱乐场所内禁止使用明火表演或燃放烟花。因施工等特殊情况需要进行电焊、气焊等明火作业的，应当按照规定办理动火审批手续，落实现场监护人，配备消防器材，并在场所主入口和作业现场显著位置公告。动火作业人员应当依法持证上岗，严格遵守消防安全规定和操作流程。人员密集或设置在高层建筑内的场所严禁在营业时间进行动火作业。</w:t>
      </w:r>
    </w:p>
    <w:p>
      <w:pPr>
        <w:pStyle w:val="10"/>
        <w:bidi w:val="0"/>
      </w:pPr>
      <w:r>
        <w:t>10.</w:t>
      </w:r>
      <w:r>
        <w:rPr>
          <w:rFonts w:hint="eastAsia"/>
        </w:rPr>
        <w:t>应当加强用电管理。应建立用电防火安全管理制度，规范场所内各类电气设备的采购、使用、检查和操作。电气线路敷设、电气设备安装和维修应指定具备职业资格的电工实施，并留存线路图纸和施工记录。不得随意私拉乱接电气线路，擅自增加用电设备。购物、餐饮和公共娱乐场所营业结束时，应切断营业场所非必要电源。场所门厅、疏散走道、楼梯间、安全出口和人员密集场所内严禁电动自行车停放、充电。</w:t>
      </w:r>
    </w:p>
    <w:p>
      <w:pPr>
        <w:pStyle w:val="14"/>
        <w:bidi w:val="0"/>
      </w:pPr>
      <w:r>
        <w:rPr>
          <w:rFonts w:hint="eastAsia"/>
        </w:rPr>
        <w:t>（四）易燃易爆可燃物安全管理</w:t>
      </w:r>
    </w:p>
    <w:p>
      <w:pPr>
        <w:pStyle w:val="10"/>
        <w:bidi w:val="0"/>
      </w:pPr>
      <w:r>
        <w:t>11.</w:t>
      </w:r>
      <w:r>
        <w:rPr>
          <w:rFonts w:hint="eastAsia"/>
        </w:rPr>
        <w:t>应当控制装修材料。场所内水平疏散走道和安全出口门厅顶棚，地下层疏散走道和安全出口墙面和地面，场所内厨房和重要设备用房顶棚、墙面和地面均应采用不燃装修材料。场所内配电箱、控制面板、接线盒、开关、插座等不应直接安装在易（可）燃装修材料上。严禁采用聚氨酯、聚苯乙烯及其芯材的金属夹芯板等易燃可燃材料装修、分隔。附设在单层、多层建筑内和地下、半地下的场所严禁使用易（可）燃材料装修。人员密集场所采用的内保温材料燃烧性能应为</w:t>
      </w:r>
      <w:r>
        <w:t>A</w:t>
      </w:r>
      <w:r>
        <w:rPr>
          <w:rFonts w:hint="eastAsia"/>
        </w:rPr>
        <w:t>级；人员密集场所所在建筑的外墙外保温材料燃烧性能应为</w:t>
      </w:r>
      <w:r>
        <w:t>A</w:t>
      </w:r>
      <w:r>
        <w:rPr>
          <w:rFonts w:hint="eastAsia"/>
        </w:rPr>
        <w:t>级。</w:t>
      </w:r>
    </w:p>
    <w:p>
      <w:pPr>
        <w:pStyle w:val="10"/>
        <w:bidi w:val="0"/>
      </w:pPr>
      <w:r>
        <w:t>12.</w:t>
      </w:r>
      <w:r>
        <w:rPr>
          <w:rFonts w:hint="eastAsia"/>
        </w:rPr>
        <w:t>应当规范燃料使用。场所内燃气（油）用具的安装使用及其管路敷设、维护保养和检测应当符合相关技术标准和管理规定。设置在高层民用建筑的场所使用燃气应当采用管道供气方式。地下场所禁止使用液化石油气。燃料存放设备应设置独立房间。燃料供给总管道上应设置紧急事故切断装置。禁止违规擅自安装、改装、拆除燃料设备和用具。宾馆、饭店、医院、托儿所、幼儿园、寄宿制学校等场所厨房烟道应至少每季度清洗一次。</w:t>
      </w:r>
    </w:p>
    <w:p>
      <w:pPr>
        <w:pStyle w:val="14"/>
        <w:bidi w:val="0"/>
      </w:pPr>
      <w:r>
        <w:rPr>
          <w:rFonts w:hint="eastAsia"/>
        </w:rPr>
        <w:t>（五）安全疏散设施管理</w:t>
      </w:r>
    </w:p>
    <w:p>
      <w:pPr>
        <w:pStyle w:val="10"/>
        <w:bidi w:val="0"/>
      </w:pPr>
      <w:r>
        <w:t>13.</w:t>
      </w:r>
      <w:r>
        <w:rPr>
          <w:rFonts w:hint="eastAsia"/>
        </w:rPr>
        <w:t>应当规范设置疏散设施。各场所疏散门应采用向疏散方向开启的平开门，不应采用推拉门、卷帘门、转门、吊门和折叠门。疏散楼梯应能天然采光和自然通风或设置防烟设施，且其首层应设置直接对外的出口。与地下层共用的疏散楼梯应在首层进行有效防火分隔。楼梯间内不应设置烧水间、可燃材料储藏室和垃圾桶、更衣柜、休息椅等影响疏散的障碍物，不应设置易燃可燃液（气）体管道。多业态混合生产经营场所应当设置一键警报广播装置。</w:t>
      </w:r>
    </w:p>
    <w:p>
      <w:pPr>
        <w:pStyle w:val="10"/>
        <w:bidi w:val="0"/>
      </w:pPr>
      <w:r>
        <w:t>14.</w:t>
      </w:r>
      <w:r>
        <w:rPr>
          <w:rFonts w:hint="eastAsia"/>
        </w:rPr>
        <w:t>应当确保出口通道畅通。应保持疏散通道、安全出口畅通，严禁占用、堵塞、封闭疏散通道、安全出口。设置门禁系统的场所，应保证火灾时不需要使用钥匙等任何工具即能从内部易于打开，并应在显著位置设置提示标识。禁止在安全出口、疏散通道上安装固定栅栏等影响疏散的障碍物，禁止在公共区域的外窗上安装金属护栏或防盗网、广告牌等影响疏散、灭火救援的障碍物。人员密集场所使用、营业期间不应锁闭安全出口的门。</w:t>
      </w:r>
    </w:p>
    <w:p>
      <w:pPr>
        <w:pStyle w:val="10"/>
        <w:bidi w:val="0"/>
      </w:pPr>
      <w:r>
        <w:t>15.</w:t>
      </w:r>
      <w:r>
        <w:rPr>
          <w:rFonts w:hint="eastAsia"/>
        </w:rPr>
        <w:t>应当加强疏散提示引导。消防应急照明、疏散指示标志应保持完好有效，损坏后应及时维修更换。宾馆、商场、饭店、医院、托儿所、幼儿园、寄宿制学校、校外培训机构和公共娱乐场所应在各楼层明显位置设置疏散指示图，标明所在位置、疏散路线、安全出口等要素信息。地下或半地下购物场所、歌舞娱乐放映游艺场所应在疏散走道和主要疏散路径地面增设保持视觉连续的灯光疏散指示标志或蓄光疏散指示标志，歌舞厅及其包房影音系统应设置火灾初期声音视像切换警报功能。</w:t>
      </w:r>
    </w:p>
    <w:p>
      <w:pPr>
        <w:pStyle w:val="13"/>
        <w:bidi w:val="0"/>
      </w:pPr>
      <w:r>
        <w:rPr>
          <w:rFonts w:hint="eastAsia"/>
        </w:rPr>
        <w:t>二、消防安全检查要求</w:t>
      </w:r>
    </w:p>
    <w:p>
      <w:pPr>
        <w:pStyle w:val="14"/>
        <w:bidi w:val="0"/>
      </w:pPr>
      <w:r>
        <w:rPr>
          <w:rFonts w:hint="eastAsia"/>
        </w:rPr>
        <w:t>（一）消防安全责任制落实情况检查要求</w:t>
      </w:r>
    </w:p>
    <w:p>
      <w:pPr>
        <w:pStyle w:val="10"/>
        <w:bidi w:val="0"/>
      </w:pPr>
      <w:r>
        <w:t>1.</w:t>
      </w:r>
      <w:r>
        <w:rPr>
          <w:rFonts w:hint="eastAsia"/>
        </w:rPr>
        <w:t>场所是否落实全员消防安全责任制，法定代表人、主要负责人或实际控制人是否是场所的消防安全第一责任人，是否明确逐级和各岗位消防安全责任。场所为租赁的，是否在租赁协议中明确出租方、物业方和承租人各自的消防安全责任。</w:t>
      </w:r>
    </w:p>
    <w:p>
      <w:pPr>
        <w:pStyle w:val="10"/>
        <w:bidi w:val="0"/>
      </w:pPr>
      <w:r>
        <w:t>2.</w:t>
      </w:r>
      <w:r>
        <w:rPr>
          <w:rFonts w:hint="eastAsia"/>
        </w:rPr>
        <w:t>场所是否制定符合实际的消防安全制度和消防安全操作规程，并公布执行。多业态混合生产经营场所的产权单位和使用单位，是否确定责任人对共用的疏散通道、安全出口、建筑消防设施和消防车通道进行统一管理。</w:t>
      </w:r>
    </w:p>
    <w:p>
      <w:pPr>
        <w:pStyle w:val="10"/>
        <w:bidi w:val="0"/>
      </w:pPr>
      <w:r>
        <w:t>3.</w:t>
      </w:r>
      <w:r>
        <w:rPr>
          <w:rFonts w:hint="eastAsia"/>
        </w:rPr>
        <w:t>宾馆、商场、公共娱乐场所在营业时间是否至少每</w:t>
      </w:r>
      <w:r>
        <w:t>2</w:t>
      </w:r>
      <w:r>
        <w:rPr>
          <w:rFonts w:hint="eastAsia"/>
        </w:rPr>
        <w:t>小时巡查一次，营业结束后是否检查并消除遗留火种；医院、养老院及寄宿制的学校、托儿所和幼儿园是否每日组织夜间防火巡查，是否少于</w:t>
      </w:r>
      <w:r>
        <w:t>2</w:t>
      </w:r>
      <w:r>
        <w:rPr>
          <w:rFonts w:hint="eastAsia"/>
        </w:rPr>
        <w:t>次，每月是否开展一次防火检查。</w:t>
      </w:r>
    </w:p>
    <w:p>
      <w:pPr>
        <w:pStyle w:val="10"/>
        <w:bidi w:val="0"/>
      </w:pPr>
      <w:r>
        <w:t>4.</w:t>
      </w:r>
      <w:r>
        <w:rPr>
          <w:rFonts w:hint="eastAsia"/>
        </w:rPr>
        <w:t>场所是否每年至少开展一次消防安全培训，开展消防安全“三提示”。从业人员是否掌握本场所火灾风险和消防安全常识，熟练掌握消防设施操作使用方法，知晓“</w:t>
      </w:r>
      <w:r>
        <w:t>119</w:t>
      </w:r>
      <w:r>
        <w:rPr>
          <w:rFonts w:hint="eastAsia"/>
        </w:rPr>
        <w:t>”火警报警方法，具备扑救初期火灾的能力和组织人员应急疏散逃生的能力。</w:t>
      </w:r>
    </w:p>
    <w:p>
      <w:pPr>
        <w:pStyle w:val="10"/>
        <w:bidi w:val="0"/>
      </w:pPr>
      <w:r>
        <w:t>5.</w:t>
      </w:r>
      <w:r>
        <w:rPr>
          <w:rFonts w:hint="eastAsia"/>
        </w:rPr>
        <w:t>场所是否制定灭火和应急疏散预案，是否按要求组织开展全员灭火和应急疏散演练。所在建筑消防控制室和微型消防站是否建立应急联动机制。场所设置在大型商业综合体或者与其他场所在一栋建筑合并设置时，是否建立火灾联动响应处置机制，开展联合消防演练。</w:t>
      </w:r>
    </w:p>
    <w:p>
      <w:pPr>
        <w:pStyle w:val="10"/>
        <w:bidi w:val="0"/>
      </w:pPr>
      <w:r>
        <w:t>6.</w:t>
      </w:r>
      <w:r>
        <w:rPr>
          <w:rFonts w:hint="eastAsia"/>
        </w:rPr>
        <w:t>场所营业期间，是否违规进行电焊、气焊、切割等动火施工作业。非营业期间动火施工作业是否经动火审批，是否落实现场安全监护措施。</w:t>
      </w:r>
    </w:p>
    <w:p>
      <w:pPr>
        <w:pStyle w:val="10"/>
        <w:bidi w:val="0"/>
      </w:pPr>
      <w:r>
        <w:t>7.</w:t>
      </w:r>
      <w:r>
        <w:rPr>
          <w:rFonts w:hint="eastAsia"/>
        </w:rPr>
        <w:t>电动自行车及其蓄电池是否违规在场所内、公共门厅、楼梯间、走道、安全出口停放、充电。</w:t>
      </w:r>
    </w:p>
    <w:p>
      <w:pPr>
        <w:pStyle w:val="14"/>
        <w:bidi w:val="0"/>
      </w:pPr>
      <w:r>
        <w:rPr>
          <w:rFonts w:hint="eastAsia"/>
        </w:rPr>
        <w:t>（二）消防安全基本条件检查要求</w:t>
      </w:r>
    </w:p>
    <w:p>
      <w:pPr>
        <w:pStyle w:val="10"/>
        <w:bidi w:val="0"/>
      </w:pPr>
      <w:r>
        <w:t>8.</w:t>
      </w:r>
      <w:r>
        <w:rPr>
          <w:rFonts w:hint="eastAsia"/>
        </w:rPr>
        <w:t>消防车道是否划线管理，其净宽度和净空高度是否小于</w:t>
      </w:r>
      <w:r>
        <w:t>4</w:t>
      </w:r>
      <w:r>
        <w:rPr>
          <w:rFonts w:hint="eastAsia"/>
        </w:rPr>
        <w:t>米。消防车道与厂房（仓库）、民用建筑之间是否设置妨碍消防车作业的障碍物。</w:t>
      </w:r>
    </w:p>
    <w:p>
      <w:pPr>
        <w:pStyle w:val="10"/>
        <w:bidi w:val="0"/>
      </w:pPr>
      <w:r>
        <w:t>9.</w:t>
      </w:r>
      <w:r>
        <w:rPr>
          <w:rFonts w:hint="eastAsia"/>
        </w:rPr>
        <w:t>公共建筑的安全出口是否少于两个，其相邻</w:t>
      </w:r>
      <w:r>
        <w:t>2</w:t>
      </w:r>
      <w:r>
        <w:rPr>
          <w:rFonts w:hint="eastAsia"/>
        </w:rPr>
        <w:t>个安全出口最近边缘之间的水平距离是否小于</w:t>
      </w:r>
      <w:r>
        <w:t>5</w:t>
      </w:r>
      <w:r>
        <w:rPr>
          <w:rFonts w:hint="eastAsia"/>
        </w:rPr>
        <w:t>米。安全出口处是否设置门槛、屏风等影响疏散的障碍物，疏散门是否向疏散方向开启，是否违规采用卷帘门、转门、吊门、侧拉门。</w:t>
      </w:r>
    </w:p>
    <w:p>
      <w:pPr>
        <w:pStyle w:val="10"/>
        <w:bidi w:val="0"/>
      </w:pPr>
      <w:r>
        <w:t>10.</w:t>
      </w:r>
      <w:r>
        <w:rPr>
          <w:rFonts w:hint="eastAsia"/>
        </w:rPr>
        <w:t>人员密集场所的疏散通道的净宽、其他场所的疏散通道净宽是否符合消防技术标准要求。场所是否设置满足照度要求的消防应急照明灯和灯光疏散指示标志。</w:t>
      </w:r>
    </w:p>
    <w:p>
      <w:pPr>
        <w:pStyle w:val="10"/>
        <w:bidi w:val="0"/>
      </w:pPr>
      <w:r>
        <w:t>11.</w:t>
      </w:r>
      <w:r>
        <w:rPr>
          <w:rFonts w:hint="eastAsia"/>
        </w:rPr>
        <w:t>场所是否按照国家标准、行业标准设置消防设施、器材，场所消防设施的设置是否与其所在建筑的设置标准匹配，是否保持完好有效。设有消防设施的场所是否每年对建筑消防设施至少进行一次全面检测。</w:t>
      </w:r>
    </w:p>
    <w:p>
      <w:pPr>
        <w:pStyle w:val="10"/>
        <w:bidi w:val="0"/>
      </w:pPr>
      <w:r>
        <w:t>12.</w:t>
      </w:r>
      <w:r>
        <w:rPr>
          <w:rFonts w:hint="eastAsia"/>
        </w:rPr>
        <w:t>场所电气线路、装置的设计、敷设是否由具备电气设计施工资质的机构或人员实施，是否采用合格的电器设备、电气线路。是否违规将电气线路、插座、电气设备直接敷设在易燃可燃材料的内部及表面，是否存在其他违规敷设电气线路的行为。是否超负荷使用电气设备。照明灯具的高温部位，当靠近易燃、可燃材料时，是否采取隔热、散热等防火保护措施，灯饰是否选用不燃、难燃材料；场所内是否违规私拉乱接电线。</w:t>
      </w:r>
    </w:p>
    <w:p>
      <w:pPr>
        <w:pStyle w:val="10"/>
        <w:bidi w:val="0"/>
      </w:pPr>
      <w:r>
        <w:t>13.</w:t>
      </w:r>
      <w:r>
        <w:rPr>
          <w:rFonts w:hint="eastAsia"/>
        </w:rPr>
        <w:t>场所室内装修材料是否符合国家标准《建筑内部装修设计防火规范</w:t>
      </w:r>
      <w:r>
        <w:rPr>
          <w:rFonts w:hint="eastAsia"/>
          <w:lang w:val="en-US" w:eastAsia="zh-CN"/>
        </w:rPr>
        <w:t>(</w:t>
      </w:r>
      <w:r>
        <w:t>GB50222</w:t>
      </w:r>
      <w:r>
        <w:rPr>
          <w:rFonts w:hint="eastAsia"/>
          <w:lang w:eastAsia="zh-CN"/>
        </w:rPr>
        <w:t>）</w:t>
      </w:r>
      <w:r>
        <w:rPr>
          <w:rFonts w:hint="eastAsia"/>
        </w:rPr>
        <w:t>》的有关规定，是否违规采用易燃可燃装修材料。人员密集场所及所在建筑采用的内保温材料、外墙外保温材料燃烧性能是否为</w:t>
      </w:r>
      <w:r>
        <w:t>A</w:t>
      </w:r>
      <w:r>
        <w:rPr>
          <w:rFonts w:hint="eastAsia"/>
        </w:rPr>
        <w:t>级。</w:t>
      </w:r>
    </w:p>
    <w:p>
      <w:pPr>
        <w:pStyle w:val="10"/>
        <w:bidi w:val="0"/>
      </w:pPr>
      <w:r>
        <w:t>14.</w:t>
      </w:r>
      <w:r>
        <w:rPr>
          <w:rFonts w:hint="eastAsia"/>
        </w:rPr>
        <w:t>生产、储存、经营易燃易爆危险品的场所是否违规与居住场所设置在同一建筑物内。生产、储存、经营其他物品的场所与居住场所设置在同一建筑物内时，安全出口是否分别设置。</w:t>
      </w:r>
    </w:p>
    <w:p>
      <w:pPr>
        <w:pStyle w:val="14"/>
        <w:bidi w:val="0"/>
      </w:pPr>
      <w:r>
        <w:rPr>
          <w:rFonts w:hint="eastAsia"/>
        </w:rPr>
        <w:t>（三）各类场所消防安全检查要求</w:t>
      </w:r>
    </w:p>
    <w:p>
      <w:pPr>
        <w:pStyle w:val="10"/>
        <w:bidi w:val="0"/>
      </w:pPr>
      <w:r>
        <w:t>1.</w:t>
      </w:r>
      <w:r>
        <w:rPr>
          <w:rFonts w:hint="eastAsia"/>
        </w:rPr>
        <w:t>商场、集贸市场</w:t>
      </w:r>
    </w:p>
    <w:p>
      <w:pPr>
        <w:pStyle w:val="10"/>
        <w:bidi w:val="0"/>
      </w:pPr>
      <w:r>
        <w:t>1</w:t>
      </w:r>
      <w:r>
        <w:rPr>
          <w:rFonts w:hint="eastAsia"/>
        </w:rPr>
        <w:t>）商场与住宅位于同一建筑的，商业部分是否与住宅部分的安全出口分开设置，楼梯首层是否能够直通室外。商场、市场内的小型中转仓库是否独立设置，如必须设置在商场、市场内，是否用防火墙隔开。</w:t>
      </w:r>
    </w:p>
    <w:p>
      <w:pPr>
        <w:pStyle w:val="10"/>
        <w:bidi w:val="0"/>
      </w:pPr>
      <w:r>
        <w:t>2</w:t>
      </w:r>
      <w:r>
        <w:rPr>
          <w:rFonts w:hint="eastAsia"/>
        </w:rPr>
        <w:t>）高层、多层公共建筑内的商场、市场，其顶棚、墙面是否采用不燃或难燃装修材料。</w:t>
      </w:r>
    </w:p>
    <w:p>
      <w:pPr>
        <w:pStyle w:val="10"/>
        <w:bidi w:val="0"/>
      </w:pPr>
      <w:r>
        <w:t>3</w:t>
      </w:r>
      <w:r>
        <w:rPr>
          <w:rFonts w:hint="eastAsia"/>
        </w:rPr>
        <w:t>）营业厅内食品加工区的明火部位是否靠外墙布置，是否采用耐火极限不低于</w:t>
      </w:r>
      <w:r>
        <w:t>2</w:t>
      </w:r>
      <w:r>
        <w:rPr>
          <w:rFonts w:hint="eastAsia"/>
        </w:rPr>
        <w:t>小时的隔墙与其他部位分隔，敞开式的食品加工区是否采用电加热设施。</w:t>
      </w:r>
    </w:p>
    <w:p>
      <w:pPr>
        <w:pStyle w:val="10"/>
        <w:bidi w:val="0"/>
      </w:pPr>
      <w:r>
        <w:t>4</w:t>
      </w:r>
      <w:r>
        <w:rPr>
          <w:rFonts w:hint="eastAsia"/>
        </w:rPr>
        <w:t>）商场内经营指甲油、摩丝、丁烷气等易燃易爆商品时，储量是否控制在</w:t>
      </w:r>
      <w:r>
        <w:t>1</w:t>
      </w:r>
      <w:r>
        <w:rPr>
          <w:rFonts w:hint="eastAsia"/>
        </w:rPr>
        <w:t>日的销售量以内，是否采取防止日光直射措施，是否与其他高温电热器具隔开。地下商场是否违规经营销售烟花爆竹、发令枪纸、汽油、煤油、酒精、油漆等易燃易爆商品。</w:t>
      </w:r>
    </w:p>
    <w:p>
      <w:pPr>
        <w:pStyle w:val="10"/>
        <w:bidi w:val="0"/>
      </w:pPr>
      <w:r>
        <w:t>2.</w:t>
      </w:r>
      <w:r>
        <w:rPr>
          <w:rFonts w:hint="eastAsia"/>
        </w:rPr>
        <w:t>餐饮场所</w:t>
      </w:r>
    </w:p>
    <w:p>
      <w:pPr>
        <w:pStyle w:val="10"/>
        <w:bidi w:val="0"/>
      </w:pPr>
      <w:r>
        <w:t>1</w:t>
      </w:r>
      <w:r>
        <w:rPr>
          <w:rFonts w:hint="eastAsia"/>
        </w:rPr>
        <w:t>）设置在商住楼或住宅楼内的餐饮场所是否与住宅部分分开设置。</w:t>
      </w:r>
    </w:p>
    <w:p>
      <w:pPr>
        <w:pStyle w:val="10"/>
        <w:bidi w:val="0"/>
      </w:pPr>
      <w:r>
        <w:t>2</w:t>
      </w:r>
      <w:r>
        <w:rPr>
          <w:rFonts w:hint="eastAsia"/>
        </w:rPr>
        <w:t>）餐厅场所的用餐区域内是否违规存放、使用液化石油气钢瓶。厨房使用的煤气、天然气管道是否从室外单独引入，是否违规穿过用餐区域或其他公共区域。以柴油等丙类液体为燃料的餐饮场所，是否设置单独的储油间，柴油总储存量是否小于</w:t>
      </w:r>
      <w:r>
        <w:t>l</w:t>
      </w:r>
      <w:r>
        <w:rPr>
          <w:rFonts w:hint="eastAsia"/>
        </w:rPr>
        <w:t>立方米，是否采用防火墙与其他部位隔开，当必须在防火墙上开门时，是否设置甲级防火门。固定用火设施和大型用电设备是否确定专人负责。烟道等容易聚集油污的部位是否至少每季度清洗一次。</w:t>
      </w:r>
    </w:p>
    <w:p>
      <w:pPr>
        <w:pStyle w:val="10"/>
        <w:bidi w:val="0"/>
      </w:pPr>
      <w:r>
        <w:t>3</w:t>
      </w:r>
      <w:r>
        <w:rPr>
          <w:rFonts w:hint="eastAsia"/>
        </w:rPr>
        <w:t>）多层及高层公共建筑内的餐饮场所，其顶棚、墙面是否采用不燃或难燃装修材料。</w:t>
      </w:r>
    </w:p>
    <w:p>
      <w:pPr>
        <w:pStyle w:val="10"/>
        <w:bidi w:val="0"/>
      </w:pPr>
      <w:r>
        <w:t>4</w:t>
      </w:r>
      <w:r>
        <w:rPr>
          <w:rFonts w:hint="eastAsia"/>
        </w:rPr>
        <w:t>）场所是否张贴或悬挂安全疏散示意图，在出入口、楼梯口、疏散走道、疏散门等部位是否设灯光疏散指示标志。营业期间是否违规将安全出口上锁。</w:t>
      </w:r>
    </w:p>
    <w:p>
      <w:pPr>
        <w:pStyle w:val="10"/>
        <w:bidi w:val="0"/>
      </w:pPr>
      <w:r>
        <w:t>3.</w:t>
      </w:r>
      <w:r>
        <w:rPr>
          <w:rFonts w:hint="eastAsia"/>
        </w:rPr>
        <w:t>宾馆</w:t>
      </w:r>
    </w:p>
    <w:p>
      <w:pPr>
        <w:pStyle w:val="10"/>
        <w:bidi w:val="0"/>
      </w:pPr>
      <w:r>
        <w:t>1</w:t>
      </w:r>
      <w:r>
        <w:rPr>
          <w:rFonts w:hint="eastAsia"/>
        </w:rPr>
        <w:t>）宾馆每个楼层的安全出口是否少于</w:t>
      </w:r>
      <w:r>
        <w:t>2</w:t>
      </w:r>
      <w:r>
        <w:rPr>
          <w:rFonts w:hint="eastAsia"/>
        </w:rPr>
        <w:t>个。</w:t>
      </w:r>
    </w:p>
    <w:p>
      <w:pPr>
        <w:pStyle w:val="10"/>
        <w:bidi w:val="0"/>
      </w:pPr>
      <w:r>
        <w:t>2</w:t>
      </w:r>
      <w:r>
        <w:rPr>
          <w:rFonts w:hint="eastAsia"/>
        </w:rPr>
        <w:t>）除与敞开式外廊直接相连的楼梯间外，宾馆是否按消防技术标准要求采用封闭楼梯间或防烟楼梯间。楼梯间内是否违规设置烧水间、可燃材料储藏室、垃圾道，是否违规设置甲、乙、丙类液体管道，是否违规设置或穿过可燃气体管道。</w:t>
      </w:r>
    </w:p>
    <w:p>
      <w:pPr>
        <w:pStyle w:val="10"/>
        <w:bidi w:val="0"/>
      </w:pPr>
      <w:r>
        <w:t>3</w:t>
      </w:r>
      <w:r>
        <w:rPr>
          <w:rFonts w:hint="eastAsia"/>
        </w:rPr>
        <w:t>）高层宾馆位于两个安全出口之间的房间疏散门至最近安全出口的直线距离是否大于</w:t>
      </w:r>
      <w:r>
        <w:t>30</w:t>
      </w:r>
      <w:r>
        <w:rPr>
          <w:rFonts w:hint="eastAsia"/>
        </w:rPr>
        <w:t>米，单、多层宾馆是否大于</w:t>
      </w:r>
      <w:r>
        <w:t>40</w:t>
      </w:r>
      <w:r>
        <w:rPr>
          <w:rFonts w:hint="eastAsia"/>
        </w:rPr>
        <w:t>米；位于袋形走道两侧或尽端的房间疏散门至最近安全出口的直线距离是否大于</w:t>
      </w:r>
      <w:r>
        <w:t>15</w:t>
      </w:r>
      <w:r>
        <w:rPr>
          <w:rFonts w:hint="eastAsia"/>
        </w:rPr>
        <w:t>米，单、多层宾馆是否大于</w:t>
      </w:r>
      <w:r>
        <w:t>22</w:t>
      </w:r>
      <w:r>
        <w:rPr>
          <w:rFonts w:hint="eastAsia"/>
        </w:rPr>
        <w:t>米。</w:t>
      </w:r>
    </w:p>
    <w:p>
      <w:pPr>
        <w:pStyle w:val="10"/>
        <w:bidi w:val="0"/>
      </w:pPr>
      <w:r>
        <w:t>4</w:t>
      </w:r>
      <w:r>
        <w:rPr>
          <w:rFonts w:hint="eastAsia"/>
        </w:rPr>
        <w:t>）高层宾馆和体积大于</w:t>
      </w:r>
      <w:r>
        <w:t>5000</w:t>
      </w:r>
      <w:r>
        <w:rPr>
          <w:rFonts w:hint="eastAsia"/>
        </w:rPr>
        <w:t>立方米的单、多层宾馆是否设置室内消火栓系统。任一层建筑面积大于</w:t>
      </w:r>
      <w:r>
        <w:t>1500</w:t>
      </w:r>
      <w:r>
        <w:rPr>
          <w:rFonts w:hint="eastAsia"/>
        </w:rPr>
        <w:t>平方米或总建筑面积大于</w:t>
      </w:r>
      <w:r>
        <w:t>3000</w:t>
      </w:r>
      <w:r>
        <w:rPr>
          <w:rFonts w:hint="eastAsia"/>
        </w:rPr>
        <w:t>平方米的宾馆是否设置自动喷水灭火系统和火灾自动报警系统。</w:t>
      </w:r>
    </w:p>
    <w:p>
      <w:pPr>
        <w:pStyle w:val="10"/>
        <w:bidi w:val="0"/>
      </w:pPr>
      <w:r>
        <w:t>5</w:t>
      </w:r>
      <w:r>
        <w:rPr>
          <w:rFonts w:hint="eastAsia"/>
        </w:rPr>
        <w:t>）宾馆是否设置消防应急照明和灯光疏散指示标志。灯光疏散指示标志的间距是否大于</w:t>
      </w:r>
      <w:r>
        <w:t>20</w:t>
      </w:r>
      <w:r>
        <w:rPr>
          <w:rFonts w:hint="eastAsia"/>
        </w:rPr>
        <w:t>米；对于袋形走道，是否大于</w:t>
      </w:r>
      <w:r>
        <w:t>10</w:t>
      </w:r>
      <w:r>
        <w:rPr>
          <w:rFonts w:hint="eastAsia"/>
        </w:rPr>
        <w:t>米；在走道转角区，是否大于</w:t>
      </w:r>
      <w:r>
        <w:t>1</w:t>
      </w:r>
      <w:r>
        <w:rPr>
          <w:rFonts w:hint="eastAsia"/>
        </w:rPr>
        <w:t>米。客房内是否设置醒目、耐久的“请勿卧床吸烟”提示牌和楼层安全疏散示意图。</w:t>
      </w:r>
    </w:p>
    <w:p>
      <w:pPr>
        <w:pStyle w:val="10"/>
        <w:bidi w:val="0"/>
      </w:pPr>
      <w:r>
        <w:t>6</w:t>
      </w:r>
      <w:r>
        <w:rPr>
          <w:rFonts w:hint="eastAsia"/>
        </w:rPr>
        <w:t>）宾馆的水平疏散走道和安全出口的门厅，其顶棚材料是否采用不燃材料装修，其他部位是否采用不燃或难燃材料装修。</w:t>
      </w:r>
    </w:p>
    <w:p>
      <w:pPr>
        <w:pStyle w:val="10"/>
        <w:bidi w:val="0"/>
      </w:pPr>
      <w:r>
        <w:t>7</w:t>
      </w:r>
      <w:r>
        <w:rPr>
          <w:rFonts w:hint="eastAsia"/>
        </w:rPr>
        <w:t>）宾馆的客房内是否配备应急手电筒、防烟面具等逃生器材及使用说明。</w:t>
      </w:r>
    </w:p>
    <w:p>
      <w:pPr>
        <w:pStyle w:val="10"/>
        <w:bidi w:val="0"/>
      </w:pPr>
      <w:r>
        <w:t>4.</w:t>
      </w:r>
      <w:r>
        <w:rPr>
          <w:rFonts w:hint="eastAsia"/>
        </w:rPr>
        <w:t>公共娱乐场所（含歌舞娱乐、网吧、美容洗浴等场所）</w:t>
      </w:r>
    </w:p>
    <w:p>
      <w:pPr>
        <w:pStyle w:val="10"/>
        <w:bidi w:val="0"/>
      </w:pPr>
      <w:r>
        <w:t>1</w:t>
      </w:r>
      <w:r>
        <w:rPr>
          <w:rFonts w:hint="eastAsia"/>
        </w:rPr>
        <w:t>）场所是否违规设置在地下二层及以下楼层；是否违规设置在“三合一”场所（住宿与生产、储存经营合用场所）、彩钢板建筑和村（居）民自建房内；是否违规与生产、储存、经营易燃易爆危险品场所设置在同一建筑物内；是否违规与甲、乙类危险品仓库毗邻设置。经营服务对象主要为儿童的场所是否违规设置在地下、半地下或地上四层及以上楼层。</w:t>
      </w:r>
    </w:p>
    <w:p>
      <w:pPr>
        <w:pStyle w:val="10"/>
        <w:bidi w:val="0"/>
      </w:pPr>
      <w:r>
        <w:t>2</w:t>
      </w:r>
      <w:r>
        <w:rPr>
          <w:rFonts w:hint="eastAsia"/>
        </w:rPr>
        <w:t>）场所与住宅位于同一建筑内的，场所与居民住宅的安全出口是否分开设置。燃油或燃气锅炉、油浸电力变压器、充有可燃油的高压电容器和多油开关等设备用房受条件限制必须布置在民用建筑内时，是否违规布置在公共娱乐场所的上一层、下一层或贴邻，是否符合有关消防技术要求。</w:t>
      </w:r>
    </w:p>
    <w:p>
      <w:pPr>
        <w:pStyle w:val="10"/>
        <w:bidi w:val="0"/>
      </w:pPr>
      <w:r>
        <w:t>3</w:t>
      </w:r>
      <w:r>
        <w:rPr>
          <w:rFonts w:hint="eastAsia"/>
        </w:rPr>
        <w:t>）场所设置在多层建筑、高层建筑内的，顶棚是否采用不燃装修材料，墙面、地面、隔断等是否采用不燃或难燃装修材料。设置在地下的，顶棚、墙面是否采用不燃装修材料，其他部位是否采用不燃或难燃装修材料。是否违规采用聚氨酯类泡沫塑料等易燃可燃材料装修装饰。</w:t>
      </w:r>
    </w:p>
    <w:p>
      <w:pPr>
        <w:pStyle w:val="10"/>
        <w:bidi w:val="0"/>
      </w:pPr>
      <w:r>
        <w:t>4</w:t>
      </w:r>
      <w:r>
        <w:rPr>
          <w:rFonts w:hint="eastAsia"/>
        </w:rPr>
        <w:t>）场所营业期间是否违规将安全出口上锁，门窗是否设置影响逃生和灭火救援的障碍物。场所是否违规存放易燃易爆危险品，设置在地下的场所是否违规使用液化石油气。</w:t>
      </w:r>
    </w:p>
    <w:p>
      <w:pPr>
        <w:pStyle w:val="10"/>
        <w:bidi w:val="0"/>
      </w:pPr>
      <w:r>
        <w:t>5</w:t>
      </w:r>
      <w:r>
        <w:rPr>
          <w:rFonts w:hint="eastAsia"/>
        </w:rPr>
        <w:t>）场所是否违规私自乱拉临时电线。是否在营业期间违规进行设备检修、电气焊、油漆粉刷等施工、维修作业，是否违规在室内燃放烟花。营业期间和营业结束后，是否指定专人进行安全巡视检查。是否注意无遗留烟头、烧香、蜡烛、使用明火等火种。确认安全后，是否切断电源。</w:t>
      </w:r>
    </w:p>
    <w:p>
      <w:pPr>
        <w:pStyle w:val="10"/>
        <w:bidi w:val="0"/>
      </w:pPr>
      <w:r>
        <w:t>6</w:t>
      </w:r>
      <w:r>
        <w:rPr>
          <w:rFonts w:hint="eastAsia"/>
        </w:rPr>
        <w:t>）歌厅、舞厅及其包房内，是否设置声音或图像警报，是否能够实现在火灾发生初期，将歌厅、舞厅各房间的画面、音响消除，播送火灾警报，引导人员安全疏散。</w:t>
      </w:r>
    </w:p>
    <w:p>
      <w:pPr>
        <w:pStyle w:val="10"/>
        <w:bidi w:val="0"/>
      </w:pPr>
      <w:r>
        <w:t>5.</w:t>
      </w:r>
      <w:r>
        <w:rPr>
          <w:rFonts w:hint="eastAsia"/>
        </w:rPr>
        <w:t>医院、养老院、儿童福利院</w:t>
      </w:r>
    </w:p>
    <w:p>
      <w:pPr>
        <w:pStyle w:val="10"/>
        <w:bidi w:val="0"/>
      </w:pPr>
      <w:r>
        <w:t>1</w:t>
      </w:r>
      <w:r>
        <w:rPr>
          <w:rFonts w:hint="eastAsia"/>
        </w:rPr>
        <w:t>）养老院当中的生活用房和医院的住院部分是否设置在三层及三层以上楼层或地下、半地下建筑（室）内。</w:t>
      </w:r>
    </w:p>
    <w:p>
      <w:pPr>
        <w:pStyle w:val="10"/>
        <w:bidi w:val="0"/>
      </w:pPr>
      <w:r>
        <w:t>2</w:t>
      </w:r>
      <w:r>
        <w:rPr>
          <w:rFonts w:hint="eastAsia"/>
        </w:rPr>
        <w:t>）氧气站是否违规设在地下室内。液氧储罐是否设置在独立的一、二级耐火等级的专用建筑物，与住院楼、门诊楼之间的防火间距是否小于</w:t>
      </w:r>
      <w:r>
        <w:t>10</w:t>
      </w:r>
      <w:r>
        <w:rPr>
          <w:rFonts w:hint="eastAsia"/>
        </w:rPr>
        <w:t>米。在液氧储罐周围</w:t>
      </w:r>
      <w:r>
        <w:t>5</w:t>
      </w:r>
      <w:r>
        <w:rPr>
          <w:rFonts w:hint="eastAsia"/>
        </w:rPr>
        <w:t>米范围内是否禁止明火、是否杜绝一切火源和可燃物，是否设置明显的禁火标识。</w:t>
      </w:r>
    </w:p>
    <w:p>
      <w:pPr>
        <w:pStyle w:val="10"/>
        <w:bidi w:val="0"/>
      </w:pPr>
      <w:r>
        <w:t>3</w:t>
      </w:r>
      <w:r>
        <w:rPr>
          <w:rFonts w:hint="eastAsia"/>
        </w:rPr>
        <w:t>）医院、养老院的病房、疏散走道等场所是否堆放可燃物品及其他杂物，是否加设床位，疏散门是否上锁。是否在窗口、阳台等部位设置影响疏散逃生的封闭式栅栏等设施。</w:t>
      </w:r>
    </w:p>
    <w:p>
      <w:pPr>
        <w:pStyle w:val="10"/>
        <w:bidi w:val="0"/>
      </w:pPr>
      <w:r>
        <w:t>4</w:t>
      </w:r>
      <w:r>
        <w:rPr>
          <w:rFonts w:hint="eastAsia"/>
        </w:rPr>
        <w:t>）病房楼内是否违规使用液化石油气罐。医院的消防安全重点部位是否使用具有火灾危险性的电热器具，确因医疗、科研、试验需要而必须使用时，使用部门是否制定安全管理措施，明确责任人并报消防安全管理人批准、备案后，方可使用。</w:t>
      </w:r>
    </w:p>
    <w:p>
      <w:pPr>
        <w:pStyle w:val="10"/>
        <w:bidi w:val="0"/>
      </w:pPr>
      <w:r>
        <w:t>6.</w:t>
      </w:r>
      <w:r>
        <w:rPr>
          <w:rFonts w:hint="eastAsia"/>
        </w:rPr>
        <w:t>学校（含寄宿制学校、托儿所、幼儿园，非寄宿制的学校、托儿所、幼儿园，校外培训机构）</w:t>
      </w:r>
    </w:p>
    <w:p>
      <w:pPr>
        <w:pStyle w:val="10"/>
        <w:bidi w:val="0"/>
      </w:pPr>
      <w:r>
        <w:t>1</w:t>
      </w:r>
      <w:r>
        <w:rPr>
          <w:rFonts w:hint="eastAsia"/>
        </w:rPr>
        <w:t>）托儿所、幼儿园的儿童用房和儿童游乐厅等儿童活动场所是否设置在四层及四层以上楼层或地下、半地下建筑（室）内。寄宿制学校的图书馆、教学楼、实验楼和集体宿舍的安全出口数量和宽度是否符合消防技术标准要求，公共疏散走道、疏散楼梯间是否违规设置卷帘门、栅栏等影响安全疏散的设施。</w:t>
      </w:r>
    </w:p>
    <w:p>
      <w:pPr>
        <w:pStyle w:val="10"/>
        <w:bidi w:val="0"/>
      </w:pPr>
      <w:r>
        <w:t>2</w:t>
      </w:r>
      <w:r>
        <w:rPr>
          <w:rFonts w:hint="eastAsia"/>
        </w:rPr>
        <w:t>）寄宿制学校的集体宿舍是否违规使用蜡烛、电炉；当需要使用炉火采暖时，是否设专人负责，夜间是否定时进行防火巡查。</w:t>
      </w:r>
    </w:p>
    <w:p>
      <w:pPr>
        <w:pStyle w:val="10"/>
        <w:bidi w:val="0"/>
      </w:pPr>
      <w:r>
        <w:t>3</w:t>
      </w:r>
      <w:r>
        <w:rPr>
          <w:rFonts w:hint="eastAsia"/>
        </w:rPr>
        <w:t>）托儿所、幼儿园的儿童用房及儿童游乐厅等儿童活动场所是否违规使用明火取暖、照明，当必须使用时，是否采取防火、防护措施，是否设专人负责。</w:t>
      </w:r>
    </w:p>
    <w:p>
      <w:pPr>
        <w:pStyle w:val="10"/>
        <w:bidi w:val="0"/>
      </w:pPr>
      <w:r>
        <w:t>4</w:t>
      </w:r>
      <w:r>
        <w:rPr>
          <w:rFonts w:hint="eastAsia"/>
        </w:rPr>
        <w:t>）场所的厨房、烧水间是否单独设置。每间集体宿舍是否设置用电超载保护装置。电路熔断器是否违规使用铜丝、铝丝替代。</w:t>
      </w:r>
    </w:p>
    <w:p>
      <w:pPr>
        <w:pStyle w:val="10"/>
        <w:bidi w:val="0"/>
      </w:pPr>
      <w:r>
        <w:t>7.</w:t>
      </w:r>
      <w:r>
        <w:rPr>
          <w:rFonts w:hint="eastAsia"/>
        </w:rPr>
        <w:t>生产加工企业</w:t>
      </w:r>
    </w:p>
    <w:p>
      <w:pPr>
        <w:pStyle w:val="10"/>
        <w:bidi w:val="0"/>
      </w:pPr>
      <w:r>
        <w:t>1</w:t>
      </w:r>
      <w:r>
        <w:rPr>
          <w:rFonts w:hint="eastAsia"/>
        </w:rPr>
        <w:t>）住宿与生产、储存、经营合用场所的住宿与非住宿部分是否进行防火分隔，安全出口是否相互独立。厂房、仓库内是否违规设置员工宿舍。</w:t>
      </w:r>
    </w:p>
    <w:p>
      <w:pPr>
        <w:pStyle w:val="10"/>
        <w:bidi w:val="0"/>
      </w:pPr>
      <w:r>
        <w:t>2</w:t>
      </w:r>
      <w:r>
        <w:rPr>
          <w:rFonts w:hint="eastAsia"/>
        </w:rPr>
        <w:t>）车间内中间仓库的储量是否违规超过一昼夜的使用量。生产过程中的原料、半成品、成品是否违规集中摆放，机电设备周围</w:t>
      </w:r>
      <w:r>
        <w:t>0.5</w:t>
      </w:r>
      <w:r>
        <w:rPr>
          <w:rFonts w:hint="eastAsia"/>
        </w:rPr>
        <w:t>米的范围内是否违规堆放可燃物。生产加工中使用电熨斗等电加热器具时，是否固定使用地点，是否采取可靠的防火措施。是否按操作规程定时清除电气设备及通风管道上的可燃粉尘、飞絮。</w:t>
      </w:r>
    </w:p>
    <w:p>
      <w:pPr>
        <w:pStyle w:val="10"/>
        <w:bidi w:val="0"/>
      </w:pPr>
      <w:r>
        <w:t>3</w:t>
      </w:r>
      <w:r>
        <w:rPr>
          <w:rFonts w:hint="eastAsia"/>
        </w:rPr>
        <w:t>）生产加工车间、员工集体宿舍是否违规擅自拉接电气线路、设置炉灶。</w:t>
      </w:r>
    </w:p>
    <w:p>
      <w:pPr>
        <w:pStyle w:val="10"/>
        <w:bidi w:val="0"/>
      </w:pPr>
      <w:r>
        <w:t>8.</w:t>
      </w:r>
      <w:r>
        <w:rPr>
          <w:rFonts w:hint="eastAsia"/>
        </w:rPr>
        <w:t>易燃易爆危险品销售场所</w:t>
      </w:r>
    </w:p>
    <w:p>
      <w:pPr>
        <w:pStyle w:val="10"/>
        <w:bidi w:val="0"/>
      </w:pPr>
      <w:r>
        <w:t>1</w:t>
      </w:r>
      <w:r>
        <w:rPr>
          <w:rFonts w:hint="eastAsia"/>
        </w:rPr>
        <w:t>）易燃易爆危险品销售场所是否违规附设在民用建筑内。易燃易爆危险品经营门店是否为独立的单层、框架或砖混结构的建筑，是否设置在建筑的一、二层，是否违规设置在地下、半地下。</w:t>
      </w:r>
    </w:p>
    <w:p>
      <w:pPr>
        <w:pStyle w:val="10"/>
        <w:bidi w:val="0"/>
      </w:pPr>
      <w:r>
        <w:t>2</w:t>
      </w:r>
      <w:r>
        <w:rPr>
          <w:rFonts w:hint="eastAsia"/>
        </w:rPr>
        <w:t>）门店内的货物是否违规超量储存，化学性质不同以及相互发生反应的物品或者灭火方法不同的物品是否违规混存，储存场所是否有通风、降温措施。物品的包装是否牢固、密封，是否违规存在跑、冒、滴、漏情况。</w:t>
      </w:r>
    </w:p>
    <w:p>
      <w:pPr>
        <w:pStyle w:val="10"/>
        <w:bidi w:val="0"/>
      </w:pPr>
      <w:r>
        <w:t>3</w:t>
      </w:r>
      <w:r>
        <w:rPr>
          <w:rFonts w:hint="eastAsia"/>
        </w:rPr>
        <w:t>）易燃易爆危险品经营门店内电气装置是否采用防爆电器，敷设的配电线路是否穿金属管或难燃塑料管保护。</w:t>
      </w:r>
    </w:p>
    <w:p>
      <w:pPr>
        <w:pStyle w:val="10"/>
        <w:bidi w:val="0"/>
      </w:pPr>
      <w:r>
        <w:t>4</w:t>
      </w:r>
      <w:r>
        <w:rPr>
          <w:rFonts w:hint="eastAsia"/>
        </w:rPr>
        <w:t>）门店内是否存在吸烟、违规动火作业情况，是否违规使用电炉、明火等取暖、照明、烹饪食物。</w:t>
      </w:r>
    </w:p>
    <w:p>
      <w:pPr>
        <w:pStyle w:val="10"/>
        <w:bidi w:val="0"/>
      </w:pPr>
      <w:r>
        <w:t>9.</w:t>
      </w:r>
      <w:r>
        <w:rPr>
          <w:rFonts w:hint="eastAsia"/>
        </w:rPr>
        <w:t>仓储场所</w:t>
      </w:r>
    </w:p>
    <w:p>
      <w:pPr>
        <w:pStyle w:val="10"/>
        <w:bidi w:val="0"/>
      </w:pPr>
      <w:r>
        <w:t>1</w:t>
      </w:r>
      <w:r>
        <w:rPr>
          <w:rFonts w:hint="eastAsia"/>
        </w:rPr>
        <w:t>）仓储场所与建筑物之间是否保持足够的防火间距。</w:t>
      </w:r>
    </w:p>
    <w:p>
      <w:pPr>
        <w:pStyle w:val="10"/>
        <w:bidi w:val="0"/>
      </w:pPr>
      <w:r>
        <w:t>2</w:t>
      </w:r>
      <w:r>
        <w:rPr>
          <w:rFonts w:hint="eastAsia"/>
        </w:rPr>
        <w:t>）露天存放物品是否分类、分堆、分组和分垛，是否留出必要的防火间距。库存物品是否分类、分垛储存，每垛占地面积，垛与垛间距，垛与墙面间距，垛与梁、柱的间距，主要通道的宽度是否符合消防技术标准要求。</w:t>
      </w:r>
    </w:p>
    <w:p>
      <w:pPr>
        <w:pStyle w:val="10"/>
        <w:bidi w:val="0"/>
      </w:pPr>
      <w:r>
        <w:t>3</w:t>
      </w:r>
      <w:r>
        <w:rPr>
          <w:rFonts w:hint="eastAsia"/>
        </w:rPr>
        <w:t>）场所内是否违规设置员工宿舍；确需设置办公室、休息室的，是否采用不燃烧体隔墙、楼板与库房分隔，是否设置独立的安全出口。场所的安全出口数量、宽度、间距是否符合消防技术标准要求。</w:t>
      </w:r>
    </w:p>
    <w:p>
      <w:pPr>
        <w:pStyle w:val="10"/>
        <w:bidi w:val="0"/>
      </w:pPr>
      <w:r>
        <w:t>4</w:t>
      </w:r>
      <w:r>
        <w:rPr>
          <w:rFonts w:hint="eastAsia"/>
        </w:rPr>
        <w:t>）建筑占地面积大于</w:t>
      </w:r>
      <w:r>
        <w:t>300</w:t>
      </w:r>
      <w:r>
        <w:rPr>
          <w:rFonts w:hint="eastAsia"/>
        </w:rPr>
        <w:t>平方米的仓储场所，是否设置室内消火栓。</w:t>
      </w:r>
    </w:p>
    <w:p>
      <w:pPr>
        <w:pStyle w:val="10"/>
        <w:bidi w:val="0"/>
      </w:pPr>
      <w:r>
        <w:t>5</w:t>
      </w:r>
      <w:r>
        <w:rPr>
          <w:rFonts w:hint="eastAsia"/>
        </w:rPr>
        <w:t>）场所内是否违规使用碘钨灯和超过</w:t>
      </w:r>
      <w:r>
        <w:t>60</w:t>
      </w:r>
      <w:r>
        <w:rPr>
          <w:rFonts w:hint="eastAsia"/>
        </w:rPr>
        <w:t>瓦的白炽灯等高温照明灯具。库房内敷设的配电线路，是否穿金属管或硬质阻燃塑料管保护；每个库房是否在库房外单独安装开关箱，保管人员离库时是否拉闸断电；是否违规使用不合规格的电路熔断器或断路器。</w:t>
      </w:r>
    </w:p>
    <w:p>
      <w:pPr>
        <w:pStyle w:val="10"/>
        <w:bidi w:val="0"/>
      </w:pPr>
      <w:r>
        <w:t>6</w:t>
      </w:r>
      <w:r>
        <w:rPr>
          <w:rFonts w:hint="eastAsia"/>
        </w:rPr>
        <w:t>）场所的电气设备周围和架空线路下方是否堆放物品；对进入场所的机动车尾气管部位，是否设置机动车排气火花熄灭器。</w:t>
      </w:r>
    </w:p>
    <w:p>
      <w:pPr>
        <w:pStyle w:val="10"/>
        <w:bidi w:val="0"/>
      </w:pPr>
      <w:r>
        <w:t>7</w:t>
      </w:r>
      <w:r>
        <w:rPr>
          <w:rFonts w:hint="eastAsia"/>
        </w:rPr>
        <w:t>）场所是否按照国家标准要求设置防雷装置，是否定期检测。库房内是否违规使用电炉、电烙铁、电熨斗等电热器具。</w:t>
      </w:r>
    </w:p>
    <w:p>
      <w:pPr>
        <w:pStyle w:val="10"/>
        <w:bidi w:val="0"/>
      </w:pPr>
      <w:r>
        <w:t>8</w:t>
      </w:r>
      <w:r>
        <w:rPr>
          <w:rFonts w:hint="eastAsia"/>
        </w:rPr>
        <w:t>）物品入库前是否有专人负责检查，是否确定无火种等隐患后，方准入库。库房内和堆场是否违规使用明火</w:t>
      </w:r>
      <w:r>
        <w:rPr>
          <w:rFonts w:hint="eastAsia"/>
          <w:lang w:eastAsia="zh-CN"/>
        </w:rPr>
        <w:t>，</w:t>
      </w:r>
      <w:r>
        <w:rPr>
          <w:rFonts w:hint="eastAsia"/>
        </w:rPr>
        <w:t>是否违规使用火炉取暖；库房外动用明火作业是否经过审批，是否做好防护措施。场所是否设置醒目的防火警示标识。</w:t>
      </w:r>
    </w:p>
    <w:p>
      <w:pPr>
        <w:pStyle w:val="10"/>
        <w:bidi w:val="0"/>
        <w:rPr>
          <w:rFonts w:hint="eastAsia"/>
        </w:rPr>
        <w:sectPr>
          <w:footerReference r:id="rId9" w:type="default"/>
          <w:pgSz w:w="11907" w:h="16840"/>
          <w:pgMar w:top="1701" w:right="1417" w:bottom="1701" w:left="1417" w:header="851" w:footer="1361" w:gutter="227"/>
          <w:pgNumType w:fmt="numberInDash"/>
          <w:cols w:space="720" w:num="1"/>
          <w:docGrid w:type="lines" w:linePitch="579" w:charSpace="0"/>
        </w:sectPr>
      </w:pPr>
      <w:r>
        <w:rPr>
          <w:rFonts w:hint="eastAsia"/>
        </w:rPr>
        <w:t>（整治指南解释联系人及电话：省消委办</w:t>
      </w:r>
      <w:r>
        <w:rPr>
          <w:rFonts w:hint="eastAsia"/>
          <w:lang w:val="en-US" w:eastAsia="zh-CN"/>
        </w:rPr>
        <w:t xml:space="preserve"> </w:t>
      </w:r>
      <w:r>
        <w:rPr>
          <w:rFonts w:hint="eastAsia"/>
        </w:rPr>
        <w:t>冯婧钰，</w:t>
      </w:r>
      <w:r>
        <w:t>025-86335255</w:t>
      </w:r>
      <w:r>
        <w:rPr>
          <w:rFonts w:hint="eastAsia"/>
        </w:rPr>
        <w:t>）</w:t>
      </w:r>
    </w:p>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pStyle w:val="11"/>
        <w:bidi w:val="0"/>
        <w:rPr>
          <w:rFonts w:hint="eastAsia"/>
          <w:lang w:val="en-US" w:eastAsia="zh-CN"/>
        </w:rPr>
      </w:pPr>
      <w:r>
        <w:rPr>
          <w:rFonts w:hint="eastAsia"/>
          <w:lang w:val="en-US" w:eastAsia="zh-CN"/>
        </w:rPr>
        <w:t>2024年全年演练计划</w:t>
      </w:r>
    </w:p>
    <w:p>
      <w:pPr>
        <w:pStyle w:val="4"/>
        <w:bidi w:val="0"/>
        <w:rPr>
          <w:rFonts w:hint="eastAsia"/>
          <w:lang w:val="en-US" w:eastAsia="zh-CN"/>
        </w:rPr>
      </w:pP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学校：              填报人：          手机号码：           填报日期：</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714"/>
        <w:gridCol w:w="3714"/>
        <w:gridCol w:w="2785"/>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49" w:type="pct"/>
            <w:noWrap w:val="0"/>
            <w:vAlign w:val="center"/>
          </w:tcPr>
          <w:p>
            <w:pPr>
              <w:keepNext w:val="0"/>
              <w:keepLines w:val="0"/>
              <w:widowControl/>
              <w:suppressLineNumbers w:val="0"/>
              <w:jc w:val="center"/>
              <w:textAlignment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bCs/>
                <w:i w:val="0"/>
                <w:iCs w:val="0"/>
                <w:color w:val="000000"/>
                <w:kern w:val="0"/>
                <w:sz w:val="32"/>
                <w:szCs w:val="32"/>
                <w:u w:val="none"/>
                <w:lang w:val="en-US" w:eastAsia="zh-CN" w:bidi="ar"/>
              </w:rPr>
              <w:t>序号</w:t>
            </w:r>
          </w:p>
        </w:tc>
        <w:tc>
          <w:tcPr>
            <w:tcW w:w="1360" w:type="pct"/>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演练时间</w:t>
            </w:r>
          </w:p>
        </w:tc>
        <w:tc>
          <w:tcPr>
            <w:tcW w:w="1360" w:type="pct"/>
            <w:noWrap w:val="0"/>
            <w:vAlign w:val="center"/>
          </w:tcPr>
          <w:p>
            <w:pPr>
              <w:keepNext w:val="0"/>
              <w:keepLines w:val="0"/>
              <w:widowControl/>
              <w:suppressLineNumbers w:val="0"/>
              <w:jc w:val="center"/>
              <w:textAlignment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bCs/>
                <w:i w:val="0"/>
                <w:iCs w:val="0"/>
                <w:color w:val="000000"/>
                <w:kern w:val="0"/>
                <w:sz w:val="32"/>
                <w:szCs w:val="32"/>
                <w:u w:val="none"/>
                <w:lang w:val="en-US" w:eastAsia="zh-CN" w:bidi="ar"/>
              </w:rPr>
              <w:t>演练主题</w:t>
            </w:r>
          </w:p>
        </w:tc>
        <w:tc>
          <w:tcPr>
            <w:tcW w:w="1020" w:type="pct"/>
            <w:noWrap w:val="0"/>
            <w:vAlign w:val="center"/>
          </w:tcPr>
          <w:p>
            <w:pPr>
              <w:keepNext w:val="0"/>
              <w:keepLines w:val="0"/>
              <w:widowControl/>
              <w:suppressLineNumbers w:val="0"/>
              <w:jc w:val="center"/>
              <w:textAlignment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bCs/>
                <w:i w:val="0"/>
                <w:iCs w:val="0"/>
                <w:color w:val="000000"/>
                <w:kern w:val="0"/>
                <w:sz w:val="32"/>
                <w:szCs w:val="32"/>
                <w:u w:val="none"/>
                <w:lang w:val="en-US" w:eastAsia="zh-CN" w:bidi="ar"/>
              </w:rPr>
              <w:t>参与人员</w:t>
            </w:r>
          </w:p>
        </w:tc>
        <w:tc>
          <w:tcPr>
            <w:tcW w:w="909" w:type="pct"/>
            <w:noWrap w:val="0"/>
            <w:vAlign w:val="center"/>
          </w:tcPr>
          <w:p>
            <w:pPr>
              <w:keepNext w:val="0"/>
              <w:keepLines w:val="0"/>
              <w:widowControl/>
              <w:suppressLineNumbers w:val="0"/>
              <w:jc w:val="center"/>
              <w:textAlignment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bCs/>
                <w:i w:val="0"/>
                <w:iCs w:val="0"/>
                <w:color w:val="000000"/>
                <w:kern w:val="0"/>
                <w:sz w:val="32"/>
                <w:szCs w:val="3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49" w:type="pct"/>
            <w:noWrap w:val="0"/>
            <w:vAlign w:val="center"/>
          </w:tcPr>
          <w:p>
            <w:p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w:t>
            </w: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02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909" w:type="pct"/>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49" w:type="pct"/>
            <w:noWrap w:val="0"/>
            <w:vAlign w:val="center"/>
          </w:tcPr>
          <w:p>
            <w:p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w:t>
            </w: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02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909" w:type="pct"/>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49" w:type="pct"/>
            <w:noWrap w:val="0"/>
            <w:vAlign w:val="center"/>
          </w:tcPr>
          <w:p>
            <w:p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w:t>
            </w: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02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909" w:type="pct"/>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49" w:type="pct"/>
            <w:noWrap w:val="0"/>
            <w:vAlign w:val="center"/>
          </w:tcPr>
          <w:p>
            <w:p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4</w:t>
            </w: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02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909" w:type="pct"/>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49" w:type="pct"/>
            <w:noWrap w:val="0"/>
            <w:vAlign w:val="center"/>
          </w:tcPr>
          <w:p>
            <w:p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5</w:t>
            </w: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02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909" w:type="pct"/>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49" w:type="pct"/>
            <w:noWrap w:val="0"/>
            <w:vAlign w:val="center"/>
          </w:tcPr>
          <w:p>
            <w:p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6</w:t>
            </w: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02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909" w:type="pct"/>
            <w:noWrap w:val="0"/>
            <w:vAlign w:val="center"/>
          </w:tcPr>
          <w:p>
            <w:pPr>
              <w:jc w:val="center"/>
              <w:rPr>
                <w:rFonts w:hint="eastAsia" w:ascii="仿宋" w:hAnsi="仿宋" w:eastAsia="仿宋" w:cs="仿宋"/>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49"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36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1020" w:type="pct"/>
            <w:noWrap w:val="0"/>
            <w:vAlign w:val="center"/>
          </w:tcPr>
          <w:p>
            <w:pPr>
              <w:jc w:val="center"/>
              <w:rPr>
                <w:rFonts w:hint="eastAsia" w:ascii="仿宋" w:hAnsi="仿宋" w:eastAsia="仿宋" w:cs="仿宋"/>
                <w:b w:val="0"/>
                <w:bCs w:val="0"/>
                <w:sz w:val="32"/>
                <w:szCs w:val="32"/>
                <w:vertAlign w:val="baseline"/>
                <w:lang w:val="en-US" w:eastAsia="zh-CN"/>
              </w:rPr>
            </w:pPr>
          </w:p>
        </w:tc>
        <w:tc>
          <w:tcPr>
            <w:tcW w:w="909" w:type="pct"/>
            <w:noWrap w:val="0"/>
            <w:vAlign w:val="center"/>
          </w:tcPr>
          <w:p>
            <w:pPr>
              <w:jc w:val="center"/>
              <w:rPr>
                <w:rFonts w:hint="eastAsia" w:ascii="仿宋" w:hAnsi="仿宋" w:eastAsia="仿宋" w:cs="仿宋"/>
                <w:b w:val="0"/>
                <w:bCs w:val="0"/>
                <w:sz w:val="32"/>
                <w:szCs w:val="32"/>
                <w:vertAlign w:val="baseline"/>
                <w:lang w:val="en-US" w:eastAsia="zh-CN"/>
              </w:rPr>
            </w:pPr>
          </w:p>
        </w:tc>
      </w:tr>
    </w:tbl>
    <w:p>
      <w:pPr>
        <w:jc w:val="both"/>
        <w:rPr>
          <w:rFonts w:hint="eastAsia" w:ascii="仿宋_GB2312" w:eastAsia="仿宋_GB2312"/>
          <w:bCs/>
          <w:kern w:val="0"/>
          <w:sz w:val="32"/>
          <w:szCs w:val="32"/>
        </w:rPr>
      </w:pPr>
      <w:r>
        <w:rPr>
          <w:rFonts w:hint="eastAsia" w:ascii="仿宋" w:hAnsi="仿宋" w:eastAsia="仿宋" w:cs="仿宋"/>
          <w:b w:val="0"/>
          <w:bCs w:val="0"/>
          <w:sz w:val="32"/>
          <w:szCs w:val="32"/>
          <w:lang w:val="en-US" w:eastAsia="zh-CN"/>
        </w:rPr>
        <w:t>注意：本表由学校填报，盖章后交属地教育行政主管部门，根据演练次数可自行增减行数。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eastAsia="仿宋_GB2312"/>
          <w:bCs/>
          <w:kern w:val="0"/>
          <w:sz w:val="32"/>
          <w:szCs w:val="32"/>
        </w:rPr>
        <w:sectPr>
          <w:pgSz w:w="16840" w:h="11907" w:orient="landscape"/>
          <w:pgMar w:top="1417" w:right="1701" w:bottom="1417" w:left="1701" w:header="851" w:footer="1361" w:gutter="227"/>
          <w:pgNumType w:fmt="numberInDash"/>
          <w:cols w:space="720" w:num="1"/>
          <w:docGrid w:type="lines" w:linePitch="579" w:charSpace="0"/>
        </w:sectPr>
      </w:pPr>
    </w:p>
    <w:p>
      <w:pPr>
        <w:pStyle w:val="4"/>
        <w:bidi w:val="0"/>
      </w:pPr>
    </w:p>
    <w:tbl>
      <w:tblPr>
        <w:tblStyle w:val="6"/>
        <w:tblpPr w:leftFromText="180" w:rightFromText="180" w:vertAnchor="text" w:horzAnchor="page" w:tblpX="1632" w:tblpY="12402"/>
        <w:tblOverlap w:val="never"/>
        <w:tblW w:w="5000" w:type="pct"/>
        <w:tblInd w:w="0" w:type="dxa"/>
        <w:tblBorders>
          <w:top w:val="single" w:color="000000"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632"/>
        <w:gridCol w:w="4430"/>
      </w:tblGrid>
      <w:tr>
        <w:tblPrEx>
          <w:tblBorders>
            <w:top w:val="single" w:color="000000"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2555" w:type="pct"/>
            <w:noWrap w:val="0"/>
            <w:vAlign w:val="top"/>
          </w:tcPr>
          <w:p>
            <w:pPr>
              <w:spacing w:line="590" w:lineRule="exact"/>
              <w:ind w:firstLine="280" w:firstLineChars="100"/>
              <w:rPr>
                <w:rFonts w:hint="default" w:ascii="仿宋" w:hAnsi="仿宋" w:eastAsia="仿宋"/>
                <w:sz w:val="28"/>
                <w:szCs w:val="28"/>
                <w:lang w:val="en-US" w:eastAsia="zh-CN"/>
              </w:rPr>
            </w:pPr>
            <w:r>
              <w:rPr>
                <w:rFonts w:ascii="仿宋" w:hAnsi="仿宋" w:eastAsia="仿宋"/>
                <w:bCs/>
                <w:color w:val="000000"/>
                <w:sz w:val="28"/>
                <w:szCs w:val="28"/>
              </w:rPr>
              <w:t>苏州</w:t>
            </w:r>
            <w:r>
              <w:rPr>
                <w:rFonts w:hint="eastAsia" w:ascii="仿宋" w:hAnsi="仿宋" w:eastAsia="仿宋"/>
                <w:bCs/>
                <w:color w:val="000000"/>
                <w:sz w:val="28"/>
                <w:szCs w:val="28"/>
                <w:lang w:val="en-US" w:eastAsia="zh-CN"/>
              </w:rPr>
              <w:t>工业园区教育局</w:t>
            </w:r>
          </w:p>
        </w:tc>
        <w:tc>
          <w:tcPr>
            <w:tcW w:w="2444" w:type="pct"/>
            <w:noWrap w:val="0"/>
            <w:vAlign w:val="top"/>
          </w:tcPr>
          <w:p>
            <w:pPr>
              <w:wordWrap w:val="0"/>
              <w:spacing w:line="590" w:lineRule="exact"/>
              <w:ind w:firstLine="280" w:firstLineChars="100"/>
              <w:jc w:val="right"/>
              <w:rPr>
                <w:rFonts w:ascii="仿宋" w:hAnsi="仿宋" w:eastAsia="仿宋"/>
                <w:sz w:val="28"/>
                <w:szCs w:val="28"/>
              </w:rPr>
            </w:pPr>
            <w:r>
              <w:rPr>
                <w:rFonts w:hint="eastAsia" w:ascii="仿宋" w:hAnsi="仿宋" w:eastAsia="仿宋"/>
                <w:bCs/>
                <w:color w:val="000000"/>
                <w:sz w:val="28"/>
                <w:szCs w:val="28"/>
                <w:lang w:eastAsia="zh-CN"/>
              </w:rPr>
              <w:t>2024</w:t>
            </w:r>
            <w:r>
              <w:rPr>
                <w:rFonts w:ascii="仿宋" w:hAnsi="仿宋" w:eastAsia="仿宋"/>
                <w:bCs/>
                <w:color w:val="000000"/>
                <w:sz w:val="28"/>
                <w:szCs w:val="28"/>
              </w:rPr>
              <w:t>年</w:t>
            </w:r>
            <w:r>
              <w:rPr>
                <w:rFonts w:hint="eastAsia" w:ascii="仿宋" w:hAnsi="仿宋" w:eastAsia="仿宋"/>
                <w:bCs/>
                <w:color w:val="000000"/>
                <w:sz w:val="28"/>
                <w:szCs w:val="28"/>
                <w:lang w:val="en-US" w:eastAsia="zh-CN"/>
              </w:rPr>
              <w:t>2</w:t>
            </w:r>
            <w:r>
              <w:rPr>
                <w:rFonts w:ascii="仿宋" w:hAnsi="仿宋" w:eastAsia="仿宋"/>
                <w:bCs/>
                <w:color w:val="000000"/>
                <w:sz w:val="28"/>
                <w:szCs w:val="28"/>
              </w:rPr>
              <w:t>月</w:t>
            </w:r>
            <w:r>
              <w:rPr>
                <w:rFonts w:hint="eastAsia" w:ascii="仿宋" w:hAnsi="仿宋" w:eastAsia="仿宋"/>
                <w:bCs/>
                <w:color w:val="000000"/>
                <w:sz w:val="28"/>
                <w:szCs w:val="28"/>
                <w:lang w:val="en-US" w:eastAsia="zh-CN"/>
              </w:rPr>
              <w:t>7</w:t>
            </w:r>
            <w:r>
              <w:rPr>
                <w:rFonts w:ascii="仿宋" w:hAnsi="仿宋" w:eastAsia="仿宋"/>
                <w:bCs/>
                <w:color w:val="000000"/>
                <w:sz w:val="28"/>
                <w:szCs w:val="28"/>
              </w:rPr>
              <w:t xml:space="preserve">日印发  </w:t>
            </w:r>
          </w:p>
        </w:tc>
      </w:tr>
    </w:tbl>
    <w:p>
      <w:pPr>
        <w:pStyle w:val="4"/>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tabs>
          <w:tab w:val="left" w:pos="3239"/>
        </w:tabs>
        <w:bidi w:val="0"/>
        <w:jc w:val="left"/>
        <w:rPr>
          <w:rFonts w:hint="eastAsia" w:eastAsia="仿宋_GB2312"/>
          <w:lang w:eastAsia="zh-CN"/>
        </w:rPr>
      </w:pPr>
      <w:r>
        <w:rPr>
          <w:rFonts w:hint="eastAsia"/>
          <w:lang w:eastAsia="zh-CN"/>
        </w:rPr>
        <w:tab/>
      </w:r>
    </w:p>
    <w:p/>
    <w:sectPr>
      <w:footerReference r:id="rId10" w:type="default"/>
      <w:pgSz w:w="11907" w:h="16840"/>
      <w:pgMar w:top="1701" w:right="1417" w:bottom="1701" w:left="1417" w:header="851" w:footer="1361" w:gutter="227"/>
      <w:pgNumType w:fmt="numberInDash"/>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___WRD_EMBED_SUB_44">
    <w:altName w:val="Arial Unicode MS"/>
    <w:panose1 w:val="00000000000000000000"/>
    <w:charset w:val="00"/>
    <w:family w:val="auto"/>
    <w:pitch w:val="default"/>
    <w:sig w:usb0="00000000" w:usb1="00000000" w:usb2="00000016" w:usb3="00000000" w:csb0="0004000F"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3"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q/lZ4QEAALkDAAAOAAAA&#10;AAAAAAEAIAAAAB4BAABkcnMvZTJvRG9jLnhtbFBLBQYAAAAABgAGAFkBAABxBQAAAAA=&#10;">
          <v:path/>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- 3 -</w:t>
                </w:r>
                <w:r>
                  <w:rPr>
                    <w:rFonts w:ascii="宋体" w:hAnsi="宋体" w:eastAsia="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- 2 -</w:t>
    </w:r>
    <w:r>
      <w:rPr>
        <w:rFonts w:ascii="宋体" w:hAnsi="宋体" w:eastAsia="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q/lZ4QEAALkDAAAOAAAA&#10;AAAAAAEAIAAAAB4BAABkcnMvZTJvRG9jLnhtbFBLBQYAAAAABgAGAFkBAABxBQAAAAA=&#10;">
          <v:path/>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- 3 -</w:t>
                </w:r>
                <w:r>
                  <w:rPr>
                    <w:rFonts w:ascii="宋体" w:hAnsi="宋体" w:eastAsia="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q/lZ4QEAALkDAAAOAAAA&#10;AAAAAAEAIAAAAB4BAABkcnMvZTJvRG9jLnhtbFBLBQYAAAAABgAGAFkBAABxBQAAAAA=&#10;">
          <v:path/>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- 3 -</w:t>
                </w:r>
                <w:r>
                  <w:rPr>
                    <w:rFonts w:ascii="宋体" w:hAnsi="宋体" w:eastAsia="宋体"/>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MjRkMGZmNDAxN2Y2MzExNTcyOWZiNzEzYzBkZTcifQ=="/>
  </w:docVars>
  <w:rsids>
    <w:rsidRoot w:val="79C378A3"/>
    <w:rsid w:val="00045292"/>
    <w:rsid w:val="000803F5"/>
    <w:rsid w:val="00082101"/>
    <w:rsid w:val="000B622A"/>
    <w:rsid w:val="000C204F"/>
    <w:rsid w:val="000C3B70"/>
    <w:rsid w:val="001015E8"/>
    <w:rsid w:val="00113B13"/>
    <w:rsid w:val="001244D7"/>
    <w:rsid w:val="00127206"/>
    <w:rsid w:val="0013613B"/>
    <w:rsid w:val="00136994"/>
    <w:rsid w:val="00155558"/>
    <w:rsid w:val="00170750"/>
    <w:rsid w:val="001B4BB5"/>
    <w:rsid w:val="001E1A7A"/>
    <w:rsid w:val="001F4FDA"/>
    <w:rsid w:val="001F6740"/>
    <w:rsid w:val="00205064"/>
    <w:rsid w:val="00224806"/>
    <w:rsid w:val="00271781"/>
    <w:rsid w:val="00275F81"/>
    <w:rsid w:val="00284939"/>
    <w:rsid w:val="002B484F"/>
    <w:rsid w:val="002B72F5"/>
    <w:rsid w:val="002C01D3"/>
    <w:rsid w:val="002C53F0"/>
    <w:rsid w:val="002E56A4"/>
    <w:rsid w:val="002E7B43"/>
    <w:rsid w:val="002F5677"/>
    <w:rsid w:val="003109A8"/>
    <w:rsid w:val="003168B0"/>
    <w:rsid w:val="00322EAE"/>
    <w:rsid w:val="00331D07"/>
    <w:rsid w:val="003322F1"/>
    <w:rsid w:val="00351D37"/>
    <w:rsid w:val="00363833"/>
    <w:rsid w:val="0038526F"/>
    <w:rsid w:val="00390A7B"/>
    <w:rsid w:val="00391B10"/>
    <w:rsid w:val="003C316A"/>
    <w:rsid w:val="003E16C4"/>
    <w:rsid w:val="003F3FD2"/>
    <w:rsid w:val="004076DD"/>
    <w:rsid w:val="0042736D"/>
    <w:rsid w:val="00455C99"/>
    <w:rsid w:val="00463FE2"/>
    <w:rsid w:val="004852FE"/>
    <w:rsid w:val="00490EB1"/>
    <w:rsid w:val="0049110A"/>
    <w:rsid w:val="00495309"/>
    <w:rsid w:val="004A2E29"/>
    <w:rsid w:val="004B2169"/>
    <w:rsid w:val="004B618A"/>
    <w:rsid w:val="004B626E"/>
    <w:rsid w:val="004C5FC4"/>
    <w:rsid w:val="004E4E36"/>
    <w:rsid w:val="004F67D6"/>
    <w:rsid w:val="004F6DCA"/>
    <w:rsid w:val="00525143"/>
    <w:rsid w:val="00545DC4"/>
    <w:rsid w:val="00554CA5"/>
    <w:rsid w:val="0055512D"/>
    <w:rsid w:val="005568DE"/>
    <w:rsid w:val="00560E55"/>
    <w:rsid w:val="00582D09"/>
    <w:rsid w:val="0058530A"/>
    <w:rsid w:val="005A2FA0"/>
    <w:rsid w:val="005C2E4F"/>
    <w:rsid w:val="005D6720"/>
    <w:rsid w:val="005D7665"/>
    <w:rsid w:val="0060470C"/>
    <w:rsid w:val="006151D5"/>
    <w:rsid w:val="006721B8"/>
    <w:rsid w:val="00692AEB"/>
    <w:rsid w:val="006A7E9C"/>
    <w:rsid w:val="006B33F9"/>
    <w:rsid w:val="006B58E2"/>
    <w:rsid w:val="006C3ADF"/>
    <w:rsid w:val="006E1B4A"/>
    <w:rsid w:val="006F6DF7"/>
    <w:rsid w:val="00724B7A"/>
    <w:rsid w:val="007316E9"/>
    <w:rsid w:val="00741B66"/>
    <w:rsid w:val="0075124D"/>
    <w:rsid w:val="007863ED"/>
    <w:rsid w:val="007A519A"/>
    <w:rsid w:val="008144A5"/>
    <w:rsid w:val="00815BDF"/>
    <w:rsid w:val="00817FA3"/>
    <w:rsid w:val="00851202"/>
    <w:rsid w:val="00867029"/>
    <w:rsid w:val="00872179"/>
    <w:rsid w:val="00876921"/>
    <w:rsid w:val="00892BFD"/>
    <w:rsid w:val="00895067"/>
    <w:rsid w:val="008B50C4"/>
    <w:rsid w:val="008D5EF8"/>
    <w:rsid w:val="00921922"/>
    <w:rsid w:val="009270C5"/>
    <w:rsid w:val="00933378"/>
    <w:rsid w:val="00961CE0"/>
    <w:rsid w:val="009636EF"/>
    <w:rsid w:val="00967F5A"/>
    <w:rsid w:val="0097493F"/>
    <w:rsid w:val="00981264"/>
    <w:rsid w:val="00990029"/>
    <w:rsid w:val="00991C72"/>
    <w:rsid w:val="00993E5D"/>
    <w:rsid w:val="009A3748"/>
    <w:rsid w:val="009C39E3"/>
    <w:rsid w:val="009C4710"/>
    <w:rsid w:val="009D0535"/>
    <w:rsid w:val="00A41F29"/>
    <w:rsid w:val="00A536CF"/>
    <w:rsid w:val="00AC37A4"/>
    <w:rsid w:val="00AD4CC3"/>
    <w:rsid w:val="00AF4EB8"/>
    <w:rsid w:val="00B32A2E"/>
    <w:rsid w:val="00B70DA9"/>
    <w:rsid w:val="00B75AC5"/>
    <w:rsid w:val="00B76435"/>
    <w:rsid w:val="00B76FE1"/>
    <w:rsid w:val="00B871A7"/>
    <w:rsid w:val="00B90A4D"/>
    <w:rsid w:val="00B91DE4"/>
    <w:rsid w:val="00B95A09"/>
    <w:rsid w:val="00BA14C3"/>
    <w:rsid w:val="00BA572C"/>
    <w:rsid w:val="00BC0400"/>
    <w:rsid w:val="00BE0B14"/>
    <w:rsid w:val="00BF60FA"/>
    <w:rsid w:val="00C420CA"/>
    <w:rsid w:val="00C615D1"/>
    <w:rsid w:val="00C639B3"/>
    <w:rsid w:val="00CA6EE0"/>
    <w:rsid w:val="00CF0B21"/>
    <w:rsid w:val="00D26435"/>
    <w:rsid w:val="00D26FBE"/>
    <w:rsid w:val="00D33255"/>
    <w:rsid w:val="00D4233D"/>
    <w:rsid w:val="00D44547"/>
    <w:rsid w:val="00D86564"/>
    <w:rsid w:val="00D86D96"/>
    <w:rsid w:val="00DA041F"/>
    <w:rsid w:val="00DB4DB1"/>
    <w:rsid w:val="00DE1A7E"/>
    <w:rsid w:val="00DF6C3A"/>
    <w:rsid w:val="00E066BB"/>
    <w:rsid w:val="00E17777"/>
    <w:rsid w:val="00E601FE"/>
    <w:rsid w:val="00E619F2"/>
    <w:rsid w:val="00E72A34"/>
    <w:rsid w:val="00E83AD3"/>
    <w:rsid w:val="00EE6E7A"/>
    <w:rsid w:val="00F33872"/>
    <w:rsid w:val="00F33CA6"/>
    <w:rsid w:val="00F52DA0"/>
    <w:rsid w:val="00FD11C0"/>
    <w:rsid w:val="01DB319C"/>
    <w:rsid w:val="02355BCC"/>
    <w:rsid w:val="02A148FA"/>
    <w:rsid w:val="068668C4"/>
    <w:rsid w:val="08F0542E"/>
    <w:rsid w:val="09E25B10"/>
    <w:rsid w:val="0CD92CFF"/>
    <w:rsid w:val="0F4358F2"/>
    <w:rsid w:val="12EC7BC3"/>
    <w:rsid w:val="139115F3"/>
    <w:rsid w:val="160D633B"/>
    <w:rsid w:val="1D231EAF"/>
    <w:rsid w:val="1D4A423F"/>
    <w:rsid w:val="21DB47FB"/>
    <w:rsid w:val="23316C48"/>
    <w:rsid w:val="27F80543"/>
    <w:rsid w:val="298869B1"/>
    <w:rsid w:val="2B5413B3"/>
    <w:rsid w:val="2E9B6236"/>
    <w:rsid w:val="30FA6C7D"/>
    <w:rsid w:val="318837B6"/>
    <w:rsid w:val="319E2F7B"/>
    <w:rsid w:val="365B7EC0"/>
    <w:rsid w:val="386B55AA"/>
    <w:rsid w:val="399D5252"/>
    <w:rsid w:val="3D0243FE"/>
    <w:rsid w:val="3FBB18BE"/>
    <w:rsid w:val="411D44FE"/>
    <w:rsid w:val="44F95AA6"/>
    <w:rsid w:val="48730F4B"/>
    <w:rsid w:val="49C425C9"/>
    <w:rsid w:val="4CD23E2E"/>
    <w:rsid w:val="5A2D0703"/>
    <w:rsid w:val="5A4D3CAD"/>
    <w:rsid w:val="5DDD3E9C"/>
    <w:rsid w:val="604968A7"/>
    <w:rsid w:val="639705D8"/>
    <w:rsid w:val="651075EF"/>
    <w:rsid w:val="65FC1FAB"/>
    <w:rsid w:val="677C2178"/>
    <w:rsid w:val="67ADCD16"/>
    <w:rsid w:val="692A175D"/>
    <w:rsid w:val="6BE741CA"/>
    <w:rsid w:val="6C1D7BEB"/>
    <w:rsid w:val="6C2A1812"/>
    <w:rsid w:val="6FC32419"/>
    <w:rsid w:val="70DE2883"/>
    <w:rsid w:val="74AC63E8"/>
    <w:rsid w:val="79C378A3"/>
    <w:rsid w:val="7F637AAB"/>
    <w:rsid w:val="7F8705D8"/>
    <w:rsid w:val="EBBEE594"/>
    <w:rsid w:val="FFCE97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1"/>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tabs>
        <w:tab w:val="left" w:pos="3476"/>
      </w:tabs>
      <w:spacing w:before="240" w:line="420" w:lineRule="exact"/>
    </w:pPr>
    <w:rPr>
      <w:rFonts w:ascii="宋体" w:hAnsi="宋体" w:eastAsia="宋体" w:cs="Times New Roman"/>
      <w:sz w:val="28"/>
      <w:szCs w:val="44"/>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tabs>
        <w:tab w:val="center" w:pos="4153"/>
        <w:tab w:val="right" w:pos="8306"/>
      </w:tabs>
      <w:snapToGrid w:val="0"/>
      <w:jc w:val="center"/>
    </w:pPr>
    <w:rPr>
      <w:sz w:val="10"/>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rPr>
      <w:rFonts w:ascii="Times New Roman" w:hAnsi="Times New Roman" w:eastAsia="宋体" w:cs="Times New Roman"/>
    </w:rPr>
  </w:style>
  <w:style w:type="paragraph" w:customStyle="1" w:styleId="10">
    <w:name w:val="公文正文"/>
    <w:basedOn w:val="1"/>
    <w:qFormat/>
    <w:uiPriority w:val="0"/>
    <w:pPr>
      <w:ind w:firstLine="640" w:firstLineChars="200"/>
    </w:pPr>
    <w:rPr>
      <w:rFonts w:ascii="仿宋" w:hAnsi="仿宋" w:eastAsia="仿宋"/>
      <w:sz w:val="32"/>
      <w:szCs w:val="32"/>
    </w:rPr>
  </w:style>
  <w:style w:type="paragraph" w:customStyle="1" w:styleId="11">
    <w:name w:val="公文标题"/>
    <w:basedOn w:val="1"/>
    <w:qFormat/>
    <w:uiPriority w:val="0"/>
    <w:pPr>
      <w:spacing w:line="600" w:lineRule="exact"/>
      <w:jc w:val="center"/>
    </w:pPr>
    <w:rPr>
      <w:rFonts w:ascii="方正小标宋简体" w:hAnsi="方正小标宋简体" w:eastAsia="方正小标宋简体"/>
      <w:kern w:val="0"/>
      <w:sz w:val="44"/>
      <w:szCs w:val="44"/>
    </w:rPr>
  </w:style>
  <w:style w:type="paragraph" w:customStyle="1" w:styleId="12">
    <w:name w:val="公文抬头"/>
    <w:basedOn w:val="1"/>
    <w:qFormat/>
    <w:uiPriority w:val="0"/>
    <w:rPr>
      <w:rFonts w:ascii="仿宋" w:hAnsi="仿宋" w:eastAsia="仿宋"/>
      <w:sz w:val="32"/>
      <w:szCs w:val="32"/>
    </w:rPr>
  </w:style>
  <w:style w:type="paragraph" w:customStyle="1" w:styleId="13">
    <w:name w:val="公文一级目录"/>
    <w:basedOn w:val="1"/>
    <w:qFormat/>
    <w:uiPriority w:val="0"/>
    <w:pPr>
      <w:ind w:firstLine="640" w:firstLineChars="200"/>
    </w:pPr>
    <w:rPr>
      <w:rFonts w:ascii="黑体" w:eastAsia="黑体"/>
      <w:sz w:val="32"/>
      <w:szCs w:val="32"/>
    </w:rPr>
  </w:style>
  <w:style w:type="paragraph" w:customStyle="1" w:styleId="14">
    <w:name w:val="公文二级目录"/>
    <w:basedOn w:val="1"/>
    <w:qFormat/>
    <w:uiPriority w:val="0"/>
    <w:pPr>
      <w:ind w:firstLine="640" w:firstLineChars="200"/>
    </w:pPr>
    <w:rPr>
      <w:rFonts w:ascii="楷体_GB2312" w:hAnsi="楷体_GB2312" w:eastAsia="楷体"/>
      <w:sz w:val="32"/>
      <w:szCs w:val="32"/>
    </w:rPr>
  </w:style>
  <w:style w:type="paragraph" w:customStyle="1" w:styleId="15">
    <w:name w:val="Default"/>
    <w:unhideWhenUsed/>
    <w:qFormat/>
    <w:uiPriority w:val="0"/>
    <w:pPr>
      <w:widowControl w:val="0"/>
      <w:autoSpaceDE w:val="0"/>
      <w:autoSpaceDN w:val="0"/>
      <w:adjustRightInd w:val="0"/>
    </w:pPr>
    <w:rPr>
      <w:rFonts w:ascii="Times New Roman" w:hAnsi="Times New Roman" w:eastAsia="仿宋_GB2312"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lib\D:\&#27169;&#26495;\&#33487;&#25945;202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2023-03-29T18:44:00Z</dcterms:created>
  <dc:creator>13176</dc:creator>
  <cp:lastModifiedBy>星海</cp:lastModifiedBy>
  <dcterms:modified xsi:type="dcterms:W3CDTF">2024-03-08T07:49:22Z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9FBD5710931A4E879787C2EF9B67211D</vt:lpwstr>
  </property>
</Properties>
</file>