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15A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jc w:val="center"/>
        <w:rPr>
          <w:rFonts w:hint="eastAsia" w:ascii="宋体" w:hAnsi="宋体" w:eastAsia="宋体" w:cs="宋体"/>
          <w:i w:val="0"/>
          <w:iCs w:val="0"/>
          <w:caps w:val="0"/>
          <w:color w:val="000000"/>
          <w:spacing w:val="0"/>
          <w:sz w:val="24"/>
          <w:szCs w:val="24"/>
        </w:rPr>
      </w:pPr>
      <w:bookmarkStart w:id="0" w:name="_GoBack"/>
      <w:r>
        <w:rPr>
          <w:rFonts w:hint="eastAsia" w:ascii="宋体" w:hAnsi="宋体" w:eastAsia="宋体" w:cs="宋体"/>
          <w:i w:val="0"/>
          <w:iCs w:val="0"/>
          <w:caps w:val="0"/>
          <w:color w:val="000000"/>
          <w:spacing w:val="0"/>
          <w:sz w:val="24"/>
          <w:szCs w:val="24"/>
          <w:bdr w:val="none" w:color="auto" w:sz="0" w:space="0"/>
        </w:rPr>
        <w:t>张家港市2026年度地质灾害防治方案</w:t>
      </w:r>
    </w:p>
    <w:bookmarkEnd w:id="0"/>
    <w:p w14:paraId="012980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为深入做好我市2026年度地质灾害防治工作，有效防范地质灾害风险，切实保障人民群众生命财产安全，根据《地质灾害防治条例》《江苏省地质环境保护条例》《江苏省地质灾害防治重点工作分工方案》《江苏省2026年度地质灾害防治方案》《苏州市2026年度地质灾害防治方案》等相关法规、规划及文件要求，结合我市实际，制定本方案。</w:t>
      </w:r>
    </w:p>
    <w:p w14:paraId="43CE5D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一、总体要求和目标</w:t>
      </w:r>
    </w:p>
    <w:p w14:paraId="6AD2A7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全面贯彻习近平总书记关于防灾减灾救灾工作重要论述和重要指示批示精神，认真落实党中央、国务院决策部署以及市委、市政府和省自然资源厅工作要求，坚持“人民至上、生命至上”，统筹高质量发展和高水平安全，进一步落实各有关部门和单位的防灾责任，防、减、救全链条协同发力，不断提升地质灾害综合防治能力，有效防范化解灾害风险，最大限度降低灾害损失，为全市经济社会高质量发展营造安全稳定和谐的环境。</w:t>
      </w:r>
    </w:p>
    <w:p w14:paraId="1C49AB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二、防治总体形势</w:t>
      </w:r>
    </w:p>
    <w:p w14:paraId="7569DF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（一）2025年度地质灾害情况</w:t>
      </w:r>
    </w:p>
    <w:p w14:paraId="38FCFA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2025年，全市统筹开展地质灾害防治各项工作，未发生突发性地质灾害险（灾）情，无人员伤亡和财产损失。</w:t>
      </w:r>
    </w:p>
    <w:p w14:paraId="222D10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（二）地质灾害现状</w:t>
      </w:r>
    </w:p>
    <w:p w14:paraId="1015F1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目前，我市凤凰镇和金港街道等低山丘陵地区存在7处不稳定斜坡（详见附件1），其中凤凰镇鸷山1处、金港街道香山、长山6处。</w:t>
      </w:r>
    </w:p>
    <w:p w14:paraId="2B462A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（三）天气气候趋势预测</w:t>
      </w:r>
    </w:p>
    <w:p w14:paraId="1DC91C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据气象部门预测，预计今年汛期我市气候状况总体偏差，极端天气气候事件偏多偏强，总降水量较常年偏多1～2成，梅雨量接近常年；预计汛期影响我市的台风个数为2～3个，较常年略偏多，其中有1个将产生较重影响。</w:t>
      </w:r>
    </w:p>
    <w:p w14:paraId="6C2F38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（四）地质灾害趋势预测</w:t>
      </w:r>
    </w:p>
    <w:p w14:paraId="793EB5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综合分析我市地质环境条件、地质灾害分布特征，结合气候状况趋势预测，预计2026年我市地质灾害总体趋势与常年基本持平。汛期强降雨、台风等极端天气时段，凤凰镇和金港街道等低山丘陵地区可能会发生滑坡、崩塌等突发地质灾害。</w:t>
      </w:r>
    </w:p>
    <w:p w14:paraId="02B24D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三、重点防范区域、时段和对象</w:t>
      </w:r>
    </w:p>
    <w:p w14:paraId="59C50B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（一）重点防范区</w:t>
      </w:r>
    </w:p>
    <w:p w14:paraId="7EF4B8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金港街道香山、长山为我市地质灾害防治重要区段，凤凰镇鸷山和金港街道香山、长山的部分山体为崩塌、滑坡地质灾害重点防范区域。</w:t>
      </w:r>
    </w:p>
    <w:p w14:paraId="7650FB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（二）重点防范期</w:t>
      </w:r>
    </w:p>
    <w:p w14:paraId="520A14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汛期是全市地质灾害的重点防范期。6月至8月，特别是连日降雨、短时强降雨、暴雨和台风等极端天气时段，应重点防范。非汛期强降雨、低温雨雪冰冻等天气时段，也应重点关注。地质灾害防治重要区段内的工程建设活动以全建设周期为重点防范期。</w:t>
      </w:r>
    </w:p>
    <w:p w14:paraId="1A0CC8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（三）重点防范对象</w:t>
      </w:r>
    </w:p>
    <w:p w14:paraId="140CFC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不稳定斜坡和地质灾害防治重要区段内的集镇、学校、医院、厂矿、市场、工地等人员聚集区，农村房前屋后切坡，在建公路、铁路、水利等重要工程建设活动区，低山丘陵区交通干线沿线、旅游景区以及重大基础设施的周边区域等，均属重点防范对象。</w:t>
      </w:r>
    </w:p>
    <w:p w14:paraId="6B3E07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四、防治重点工作</w:t>
      </w:r>
    </w:p>
    <w:p w14:paraId="780131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（一）扎实开展年度地质灾害“三查”和重大基础设施涉灾风险隐患排查</w:t>
      </w:r>
    </w:p>
    <w:p w14:paraId="367330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要在地质灾害风险隐患拉网式排查基础上，聚焦重点防范区和重点防范对象，紧盯重点防范时段，组织专业精干力量扎实做好汛前排查、汛中巡查和汛后复查工作，建立排查－整改－反馈－复核的闭环隐患管控机制。自然资源主管部门要强化组织协调和指导监督，与发改、气象、应急、住建、交通、水务、民族宗教、文广旅等部门（单位）统筹做好年度地质灾害“三查”工作。各有关部门（单位）要按照《江苏省地质灾害防治重点工作分工方案》（苏政办发〔2011〕163号）要求，认真组织本行业、本领域的地质灾害隐患风险排查和巡查，落实省防灾减灾救灾委员会办公室《关于做好重大基础设施涉灾风险隐患排查工作有关事项的通知》要求，按分工做好公路交通设施、铁路交通设施、重大市政和城市交通基础设施、重大水运等基础设施等重点领域涉灾风险隐患排查。</w:t>
      </w:r>
    </w:p>
    <w:p w14:paraId="399C86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（二）不断完善地质灾害监测预警体系</w:t>
      </w:r>
    </w:p>
    <w:p w14:paraId="3ECC07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不断深化群专结合的综合监测预警体系，健全群测群防和专业监测预警、气象风险预警有机结合的工作机制。相关区镇、街道要坚持发挥群测群防的基础性作用，遴选补齐配强群测群防员队伍，进一步完善地质灾害群测群防网络。强化自然资源、应急、气象等主管部门的信息共享和工作协同，完善预警信息发布和联动机制，拓宽直达防灾一线的信息发布渠道。</w:t>
      </w:r>
    </w:p>
    <w:p w14:paraId="1440AA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（三）持续强化汛期值班值守和信息报送</w:t>
      </w:r>
    </w:p>
    <w:p w14:paraId="5093E3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相关区镇、街道要严格落实汛期地质灾害值班值守制度，24小时保持通讯畅通，确保在极端天气等特殊情况下，将预警信息第一时间通知到村到户到人。</w:t>
      </w:r>
    </w:p>
    <w:p w14:paraId="368780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（四）健全强降雨极端天气全流程闭环管理工作机制</w:t>
      </w:r>
    </w:p>
    <w:p w14:paraId="41EC93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为精准应对强降雨、强对流、台风等极端天气引发的地质灾害风险，规范防灾减灾全流程工作，落实全链条管控要求，建立事前预警防范、事中应急处置、事后复盘整改全流程工作机制，明确各阶段工作任务、流程规范及岗位职责。台风、强降雨等极端天气来临时，相关区镇、街道应按照我市发布的各级应急响应中的工作要求，全面落实地质灾害防范各项措施（详见附件2）。</w:t>
      </w:r>
    </w:p>
    <w:p w14:paraId="383A5E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（五）全面加大地质灾害综合治理力度</w:t>
      </w:r>
    </w:p>
    <w:p w14:paraId="33A1EB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对风险程度高、治理技术可行、经济合理的不稳定斜坡及时进行治理，彻底消除隐患；对治理措施相对简单的不稳定斜坡，可采取投入少、工期短、见效快的排危除险措施；对治理技术不成熟或成本过高的不稳定斜坡，采取避险搬迁措施降低灾害风险。要加强对地质灾害综合治理工程的监管，确保工程质量和进度，对已完成治理的隐患点要强化动态跟踪监测，确保防治工程长期有效。</w:t>
      </w:r>
    </w:p>
    <w:p w14:paraId="12BF9A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（六）严格落实工程建设地质灾害危险性评估制度</w:t>
      </w:r>
    </w:p>
    <w:p w14:paraId="2A2DF9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相关区镇、街道要依据《地质灾害防治条例》和《江苏省地质环境保护条例》有关规定，积极做好地质灾害易发区内工程建设项目地质灾害危险性评估工作，对可能引发或遭受地质灾害危害的建设工程，应当配套建设地质灾害治理工程，治理工程设计、施工和验收应严格落实“三同时”制度。要做好扬子江国际化学工业园地质灾害危险性区域评估的成果运用和监督管理，及时将区域评估成果纳入全省统一的“地质灾害危险性区域评估查询服务系统”中，加大力度推进区域评估成果在批次用地审批中的应用。</w:t>
      </w:r>
    </w:p>
    <w:p w14:paraId="764143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（七）全面开展基层人员宣传培训行动</w:t>
      </w:r>
    </w:p>
    <w:p w14:paraId="252C83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凤凰镇、金港街道要强化提升基层防灾减灾、预警防御响应和应急处置能力要求，组织开展地方党政干部、基层防灾责任人、群测群防员和受威胁群众避险培训，提升基层相关人员在常态情况和极端天气气候条件下的防范应对能力。自然资源主管部门要做好科普宣传教育，提升社会公众防灾减灾意识和识灾避险能力。</w:t>
      </w:r>
    </w:p>
    <w:p w14:paraId="6C0514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五、保障措施</w:t>
      </w:r>
    </w:p>
    <w:p w14:paraId="3022AC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（一）加强组织领导，明确责任分工</w:t>
      </w:r>
    </w:p>
    <w:p w14:paraId="523A6C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要充分认识到地质灾害防治工作的特殊重要性，坚持以人民为中心的发展思想，切实提高政治站位，建立健全“党委领导、政府主导、部门协同、社会力量和市场机制广泛参与”的工作格局。发改、气象、应急、住建、交通、水务、民族宗教、文广旅等有关部门（单位）要按照职责分工进一步完善联动协同机制，做好相关行业领域的防治工作。</w:t>
      </w:r>
    </w:p>
    <w:p w14:paraId="4DD2C1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（二）强化资金保障，加强全程监管</w:t>
      </w:r>
    </w:p>
    <w:p w14:paraId="59CD90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凤凰镇、金港街道要加大地质灾害防治资金投入力度，将地质灾害防治工作经费列入本级财政预算，注重地质灾害防治工作与其他重要工作的协同和融合。对因工程建设、矿产资源开发等人为活动形成的地质灾害隐患，按照“谁引发、谁治理”的原则，督促相关责任单位和责任人员落实防治责任。</w:t>
      </w:r>
    </w:p>
    <w:p w14:paraId="762E3B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（三）严格制度落实，强化监督检查</w:t>
      </w:r>
    </w:p>
    <w:p w14:paraId="672515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要严格落实地质灾害防治各项工作制度，做好年度群测群防、“三查”、险灾情速报、工程治理、监测预警等工作。严格按照我市突发地质灾害应急预案的各项要求，落实好“防”和“救”的分工与协调配合机制，确保各项防灾措施落到实处。市自然资源主管部门要不定期开展防灾减灾工作落实情况专项督查检查，对在地质灾害防治工作中领导不力、推诿扯皮、失职渎职的，依法依规严肃追究责任。</w:t>
      </w:r>
    </w:p>
    <w:p w14:paraId="7046FF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t>附件：1.张家港市不稳定斜坡明细表</w:t>
      </w:r>
    </w:p>
    <w:p w14:paraId="655B36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8" w:lineRule="atLeast"/>
        <w:ind w:left="0" w:right="0" w:firstLine="420"/>
        <w:rPr>
          <w:rFonts w:hint="eastAsia" w:ascii="宋体" w:hAnsi="宋体" w:eastAsia="宋体" w:cs="宋体"/>
          <w:i w:val="0"/>
          <w:iCs w:val="0"/>
          <w:caps w:val="0"/>
          <w:color w:val="000000"/>
          <w:spacing w:val="0"/>
          <w:sz w:val="24"/>
          <w:szCs w:val="24"/>
          <w:bdr w:val="none" w:color="auto" w:sz="0" w:space="0"/>
        </w:rPr>
      </w:pPr>
      <w:r>
        <w:rPr>
          <w:rFonts w:hint="eastAsia" w:ascii="宋体" w:hAnsi="宋体" w:eastAsia="宋体" w:cs="宋体"/>
          <w:i w:val="0"/>
          <w:iCs w:val="0"/>
          <w:caps w:val="0"/>
          <w:color w:val="000000"/>
          <w:spacing w:val="0"/>
          <w:sz w:val="24"/>
          <w:szCs w:val="24"/>
          <w:bdr w:val="none" w:color="auto" w:sz="0" w:space="0"/>
        </w:rPr>
        <w:t>      2.强降雨极端天气地质灾害防治全流程管理工作清单</w:t>
      </w:r>
    </w:p>
    <w:p w14:paraId="47F876C2">
      <w:pPr>
        <w:rPr>
          <w:rFonts w:hint="eastAsia" w:ascii="宋体" w:hAnsi="宋体" w:eastAsia="宋体" w:cs="宋体"/>
          <w:i w:val="0"/>
          <w:iCs w:val="0"/>
          <w:caps w:val="0"/>
          <w:color w:val="000000"/>
          <w:spacing w:val="0"/>
          <w:sz w:val="24"/>
          <w:szCs w:val="24"/>
          <w:bdr w:val="none" w:color="auto" w:sz="0" w:space="0"/>
        </w:rPr>
        <w:sectPr>
          <w:pgSz w:w="11906" w:h="16838"/>
          <w:pgMar w:top="1440" w:right="1800" w:bottom="1440" w:left="1800" w:header="851" w:footer="992" w:gutter="0"/>
          <w:cols w:space="425" w:num="1"/>
          <w:docGrid w:type="lines" w:linePitch="312" w:charSpace="0"/>
        </w:sectPr>
      </w:pPr>
    </w:p>
    <w:tbl>
      <w:tblPr>
        <w:tblStyle w:val="3"/>
        <w:tblpPr w:leftFromText="180" w:rightFromText="180" w:vertAnchor="text" w:horzAnchor="page" w:tblpX="727" w:tblpY="685"/>
        <w:tblOverlap w:val="never"/>
        <w:tblW w:w="1542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30"/>
        <w:gridCol w:w="1223"/>
        <w:gridCol w:w="5078"/>
        <w:gridCol w:w="2558"/>
        <w:gridCol w:w="2409"/>
        <w:gridCol w:w="1520"/>
        <w:gridCol w:w="1223"/>
        <w:gridCol w:w="779"/>
      </w:tblGrid>
      <w:tr w14:paraId="74B0A99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15420" w:type="dxa"/>
            <w:gridSpan w:val="8"/>
            <w:tcBorders>
              <w:top w:val="nil"/>
              <w:left w:val="nil"/>
              <w:bottom w:val="nil"/>
              <w:right w:val="nil"/>
            </w:tcBorders>
            <w:shd w:val="clear" w:color="auto" w:fill="auto"/>
            <w:noWrap/>
            <w:tcMar>
              <w:top w:w="15" w:type="dxa"/>
              <w:left w:w="15" w:type="dxa"/>
              <w:right w:w="15" w:type="dxa"/>
            </w:tcMar>
            <w:vAlign w:val="center"/>
          </w:tcPr>
          <w:p w14:paraId="5D6CFAB5">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附件1:</w:t>
            </w:r>
          </w:p>
        </w:tc>
      </w:tr>
      <w:tr w14:paraId="265F477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15420" w:type="dxa"/>
            <w:gridSpan w:val="8"/>
            <w:tcBorders>
              <w:top w:val="nil"/>
              <w:left w:val="nil"/>
              <w:bottom w:val="nil"/>
              <w:right w:val="nil"/>
            </w:tcBorders>
            <w:shd w:val="clear" w:color="auto" w:fill="auto"/>
            <w:noWrap/>
            <w:tcMar>
              <w:top w:w="15" w:type="dxa"/>
              <w:left w:w="15" w:type="dxa"/>
              <w:right w:w="15" w:type="dxa"/>
            </w:tcMar>
            <w:vAlign w:val="center"/>
          </w:tcPr>
          <w:p w14:paraId="5B517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张家港市不稳定斜坡明细表</w:t>
            </w:r>
          </w:p>
        </w:tc>
      </w:tr>
      <w:tr w14:paraId="2DC9E53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53E8E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471B3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野外编号</w:t>
            </w:r>
          </w:p>
        </w:tc>
        <w:tc>
          <w:tcPr>
            <w:tcW w:w="507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3D9506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位置</w:t>
            </w:r>
          </w:p>
        </w:tc>
        <w:tc>
          <w:tcPr>
            <w:tcW w:w="255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7C1C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经度</w:t>
            </w:r>
          </w:p>
        </w:tc>
        <w:tc>
          <w:tcPr>
            <w:tcW w:w="2409"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0504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纬度</w:t>
            </w:r>
          </w:p>
        </w:tc>
        <w:tc>
          <w:tcPr>
            <w:tcW w:w="152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882DA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变形趋势</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31248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稳定性</w:t>
            </w:r>
          </w:p>
        </w:tc>
        <w:tc>
          <w:tcPr>
            <w:tcW w:w="779" w:type="dxa"/>
            <w:tcBorders>
              <w:top w:val="single" w:color="auto" w:sz="8" w:space="0"/>
              <w:left w:val="single" w:color="auto" w:sz="8" w:space="0"/>
              <w:bottom w:val="single" w:color="auto" w:sz="8" w:space="0"/>
              <w:right w:val="single" w:color="auto" w:sz="8" w:space="0"/>
            </w:tcBorders>
            <w:shd w:val="clear" w:color="auto" w:fill="auto"/>
            <w:tcMar>
              <w:top w:w="15" w:type="dxa"/>
              <w:left w:w="15" w:type="dxa"/>
              <w:right w:w="15" w:type="dxa"/>
            </w:tcMar>
            <w:vAlign w:val="center"/>
          </w:tcPr>
          <w:p w14:paraId="5C804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风险等级</w:t>
            </w:r>
          </w:p>
        </w:tc>
      </w:tr>
      <w:tr w14:paraId="480D38A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DE2D1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56DC6B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ZJG002</w:t>
            </w:r>
          </w:p>
        </w:tc>
        <w:tc>
          <w:tcPr>
            <w:tcW w:w="507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32D8C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金港街道高峰墓区东北侧</w:t>
            </w:r>
          </w:p>
        </w:tc>
        <w:tc>
          <w:tcPr>
            <w:tcW w:w="255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E047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120°22′15.540″</w:t>
            </w:r>
          </w:p>
        </w:tc>
        <w:tc>
          <w:tcPr>
            <w:tcW w:w="2409"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76BBF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31°57′17.500″</w:t>
            </w:r>
          </w:p>
        </w:tc>
        <w:tc>
          <w:tcPr>
            <w:tcW w:w="152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1C65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崩塌</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21411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基本稳定</w:t>
            </w:r>
          </w:p>
        </w:tc>
        <w:tc>
          <w:tcPr>
            <w:tcW w:w="779" w:type="dxa"/>
            <w:tcBorders>
              <w:top w:val="single" w:color="auto" w:sz="8" w:space="0"/>
              <w:left w:val="single" w:color="auto" w:sz="8" w:space="0"/>
              <w:bottom w:val="single" w:color="auto" w:sz="8" w:space="0"/>
              <w:right w:val="single" w:color="auto" w:sz="8" w:space="0"/>
            </w:tcBorders>
            <w:shd w:val="clear" w:color="auto" w:fill="auto"/>
            <w:tcMar>
              <w:top w:w="15" w:type="dxa"/>
              <w:left w:w="15" w:type="dxa"/>
              <w:right w:w="15" w:type="dxa"/>
            </w:tcMar>
            <w:vAlign w:val="center"/>
          </w:tcPr>
          <w:p w14:paraId="68D9A0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w:t>
            </w:r>
          </w:p>
        </w:tc>
      </w:tr>
      <w:tr w14:paraId="095D6C8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32E980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59C5B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ZJG005</w:t>
            </w:r>
          </w:p>
        </w:tc>
        <w:tc>
          <w:tcPr>
            <w:tcW w:w="507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701B6E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金港街道镇山西路西侧</w:t>
            </w:r>
          </w:p>
        </w:tc>
        <w:tc>
          <w:tcPr>
            <w:tcW w:w="255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1E45B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120°22′41.540″</w:t>
            </w:r>
          </w:p>
        </w:tc>
        <w:tc>
          <w:tcPr>
            <w:tcW w:w="2409"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4F5BD4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31°57′15.640″</w:t>
            </w:r>
          </w:p>
        </w:tc>
        <w:tc>
          <w:tcPr>
            <w:tcW w:w="152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3C986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崩塌</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28F6E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基本稳定</w:t>
            </w:r>
          </w:p>
        </w:tc>
        <w:tc>
          <w:tcPr>
            <w:tcW w:w="779" w:type="dxa"/>
            <w:tcBorders>
              <w:top w:val="single" w:color="auto" w:sz="8" w:space="0"/>
              <w:left w:val="single" w:color="auto" w:sz="8" w:space="0"/>
              <w:bottom w:val="single" w:color="auto" w:sz="8" w:space="0"/>
              <w:right w:val="single" w:color="auto" w:sz="8" w:space="0"/>
            </w:tcBorders>
            <w:shd w:val="clear" w:color="auto" w:fill="auto"/>
            <w:tcMar>
              <w:top w:w="15" w:type="dxa"/>
              <w:left w:w="15" w:type="dxa"/>
              <w:right w:w="15" w:type="dxa"/>
            </w:tcMar>
            <w:vAlign w:val="center"/>
          </w:tcPr>
          <w:p w14:paraId="66D510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w:t>
            </w:r>
          </w:p>
        </w:tc>
      </w:tr>
      <w:tr w14:paraId="4CF984D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521722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16FC6D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ZJG007</w:t>
            </w:r>
          </w:p>
        </w:tc>
        <w:tc>
          <w:tcPr>
            <w:tcW w:w="507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E17AB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金港街道港区小学南侧 700米</w:t>
            </w:r>
          </w:p>
        </w:tc>
        <w:tc>
          <w:tcPr>
            <w:tcW w:w="255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1C4F5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120°23′3.180″</w:t>
            </w:r>
          </w:p>
        </w:tc>
        <w:tc>
          <w:tcPr>
            <w:tcW w:w="2409"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4A6746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31°56′14.450″</w:t>
            </w:r>
          </w:p>
        </w:tc>
        <w:tc>
          <w:tcPr>
            <w:tcW w:w="152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2480FA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崩塌</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3F0B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基本稳定</w:t>
            </w:r>
          </w:p>
        </w:tc>
        <w:tc>
          <w:tcPr>
            <w:tcW w:w="779" w:type="dxa"/>
            <w:tcBorders>
              <w:top w:val="single" w:color="auto" w:sz="8" w:space="0"/>
              <w:left w:val="single" w:color="auto" w:sz="8" w:space="0"/>
              <w:bottom w:val="single" w:color="auto" w:sz="8" w:space="0"/>
              <w:right w:val="single" w:color="auto" w:sz="8" w:space="0"/>
            </w:tcBorders>
            <w:shd w:val="clear" w:color="auto" w:fill="auto"/>
            <w:tcMar>
              <w:top w:w="15" w:type="dxa"/>
              <w:left w:w="15" w:type="dxa"/>
              <w:right w:w="15" w:type="dxa"/>
            </w:tcMar>
            <w:vAlign w:val="center"/>
          </w:tcPr>
          <w:p w14:paraId="2DB6F0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w:t>
            </w:r>
          </w:p>
        </w:tc>
      </w:tr>
      <w:tr w14:paraId="4580699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1C4CD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231C46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ZJG009</w:t>
            </w:r>
          </w:p>
        </w:tc>
        <w:tc>
          <w:tcPr>
            <w:tcW w:w="507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4D8DE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金港街道金港基督教堂</w:t>
            </w:r>
          </w:p>
        </w:tc>
        <w:tc>
          <w:tcPr>
            <w:tcW w:w="255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441F93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120°23′22.970″</w:t>
            </w:r>
          </w:p>
        </w:tc>
        <w:tc>
          <w:tcPr>
            <w:tcW w:w="2409"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AE24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31°55′58.130″</w:t>
            </w:r>
          </w:p>
        </w:tc>
        <w:tc>
          <w:tcPr>
            <w:tcW w:w="152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3E7447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崩塌</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937D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基本稳定</w:t>
            </w:r>
          </w:p>
        </w:tc>
        <w:tc>
          <w:tcPr>
            <w:tcW w:w="779" w:type="dxa"/>
            <w:tcBorders>
              <w:top w:val="single" w:color="auto" w:sz="8" w:space="0"/>
              <w:left w:val="single" w:color="auto" w:sz="8" w:space="0"/>
              <w:bottom w:val="single" w:color="auto" w:sz="8" w:space="0"/>
              <w:right w:val="single" w:color="auto" w:sz="8" w:space="0"/>
            </w:tcBorders>
            <w:shd w:val="clear" w:color="auto" w:fill="auto"/>
            <w:tcMar>
              <w:top w:w="15" w:type="dxa"/>
              <w:left w:w="15" w:type="dxa"/>
              <w:right w:w="15" w:type="dxa"/>
            </w:tcMar>
            <w:vAlign w:val="center"/>
          </w:tcPr>
          <w:p w14:paraId="29CD2B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w:t>
            </w:r>
          </w:p>
        </w:tc>
      </w:tr>
      <w:tr w14:paraId="516ECBA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4A2BDA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2C8EB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ZJG010</w:t>
            </w:r>
          </w:p>
        </w:tc>
        <w:tc>
          <w:tcPr>
            <w:tcW w:w="507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65E7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金港街道北山村委会南侧 400米</w:t>
            </w:r>
          </w:p>
        </w:tc>
        <w:tc>
          <w:tcPr>
            <w:tcW w:w="255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7ACE6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120°23′35.100″</w:t>
            </w:r>
          </w:p>
        </w:tc>
        <w:tc>
          <w:tcPr>
            <w:tcW w:w="2409"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3C360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31°56′0.720″</w:t>
            </w:r>
          </w:p>
        </w:tc>
        <w:tc>
          <w:tcPr>
            <w:tcW w:w="152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CE3D7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崩塌、滑坡</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286EC5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基本稳定</w:t>
            </w:r>
          </w:p>
        </w:tc>
        <w:tc>
          <w:tcPr>
            <w:tcW w:w="779" w:type="dxa"/>
            <w:tcBorders>
              <w:top w:val="single" w:color="auto" w:sz="8" w:space="0"/>
              <w:left w:val="single" w:color="auto" w:sz="8" w:space="0"/>
              <w:bottom w:val="single" w:color="auto" w:sz="8" w:space="0"/>
              <w:right w:val="single" w:color="auto" w:sz="8" w:space="0"/>
            </w:tcBorders>
            <w:shd w:val="clear" w:color="auto" w:fill="auto"/>
            <w:tcMar>
              <w:top w:w="15" w:type="dxa"/>
              <w:left w:w="15" w:type="dxa"/>
              <w:right w:w="15" w:type="dxa"/>
            </w:tcMar>
            <w:vAlign w:val="center"/>
          </w:tcPr>
          <w:p w14:paraId="51CDF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w:t>
            </w:r>
          </w:p>
        </w:tc>
      </w:tr>
      <w:tr w14:paraId="2DD0065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30A63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317C78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ZJG011</w:t>
            </w:r>
          </w:p>
        </w:tc>
        <w:tc>
          <w:tcPr>
            <w:tcW w:w="507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78D2C9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金港街道香山风景区东南门东侧120米</w:t>
            </w:r>
          </w:p>
        </w:tc>
        <w:tc>
          <w:tcPr>
            <w:tcW w:w="255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A66B9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120°23′34.460″</w:t>
            </w:r>
          </w:p>
        </w:tc>
        <w:tc>
          <w:tcPr>
            <w:tcW w:w="2409"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2DCCF4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31°55′26.630″</w:t>
            </w:r>
          </w:p>
        </w:tc>
        <w:tc>
          <w:tcPr>
            <w:tcW w:w="152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7E859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崩塌</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29A428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基本稳定</w:t>
            </w:r>
          </w:p>
        </w:tc>
        <w:tc>
          <w:tcPr>
            <w:tcW w:w="779" w:type="dxa"/>
            <w:tcBorders>
              <w:top w:val="single" w:color="auto" w:sz="8" w:space="0"/>
              <w:left w:val="single" w:color="auto" w:sz="8" w:space="0"/>
              <w:bottom w:val="single" w:color="auto" w:sz="8" w:space="0"/>
              <w:right w:val="single" w:color="auto" w:sz="8" w:space="0"/>
            </w:tcBorders>
            <w:shd w:val="clear" w:color="auto" w:fill="auto"/>
            <w:tcMar>
              <w:top w:w="15" w:type="dxa"/>
              <w:left w:w="15" w:type="dxa"/>
              <w:right w:w="15" w:type="dxa"/>
            </w:tcMar>
            <w:vAlign w:val="center"/>
          </w:tcPr>
          <w:p w14:paraId="677B0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w:t>
            </w:r>
          </w:p>
        </w:tc>
      </w:tr>
      <w:tr w14:paraId="4D67BBA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11A35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7AB5A0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ZJG018</w:t>
            </w:r>
          </w:p>
        </w:tc>
        <w:tc>
          <w:tcPr>
            <w:tcW w:w="507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162D9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凤凰镇鸷山寺西北侧 200米</w:t>
            </w:r>
          </w:p>
        </w:tc>
        <w:tc>
          <w:tcPr>
            <w:tcW w:w="2558"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9CFE1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120°36′43.050″</w:t>
            </w:r>
          </w:p>
        </w:tc>
        <w:tc>
          <w:tcPr>
            <w:tcW w:w="2409"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C295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31°45′50.290″</w:t>
            </w:r>
          </w:p>
        </w:tc>
        <w:tc>
          <w:tcPr>
            <w:tcW w:w="1520"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6960D0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崩塌</w:t>
            </w:r>
          </w:p>
        </w:tc>
        <w:tc>
          <w:tcPr>
            <w:tcW w:w="1223" w:type="dxa"/>
            <w:tcBorders>
              <w:top w:val="single" w:color="auto" w:sz="8" w:space="0"/>
              <w:left w:val="single" w:color="auto" w:sz="8" w:space="0"/>
              <w:bottom w:val="single" w:color="auto" w:sz="8" w:space="0"/>
              <w:right w:val="single" w:color="auto" w:sz="8" w:space="0"/>
            </w:tcBorders>
            <w:shd w:val="clear" w:color="auto" w:fill="auto"/>
            <w:noWrap/>
            <w:tcMar>
              <w:top w:w="15" w:type="dxa"/>
              <w:left w:w="15" w:type="dxa"/>
              <w:right w:w="15" w:type="dxa"/>
            </w:tcMar>
            <w:vAlign w:val="center"/>
          </w:tcPr>
          <w:p w14:paraId="0B1E8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基本稳定</w:t>
            </w:r>
          </w:p>
        </w:tc>
        <w:tc>
          <w:tcPr>
            <w:tcW w:w="779" w:type="dxa"/>
            <w:tcBorders>
              <w:top w:val="single" w:color="auto" w:sz="8" w:space="0"/>
              <w:left w:val="single" w:color="auto" w:sz="8" w:space="0"/>
              <w:bottom w:val="single" w:color="auto" w:sz="8" w:space="0"/>
              <w:right w:val="single" w:color="auto" w:sz="8" w:space="0"/>
            </w:tcBorders>
            <w:shd w:val="clear" w:color="auto" w:fill="auto"/>
            <w:tcMar>
              <w:top w:w="15" w:type="dxa"/>
              <w:left w:w="15" w:type="dxa"/>
              <w:right w:w="15" w:type="dxa"/>
            </w:tcMar>
            <w:vAlign w:val="center"/>
          </w:tcPr>
          <w:p w14:paraId="23BF7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w:t>
            </w:r>
          </w:p>
        </w:tc>
      </w:tr>
    </w:tbl>
    <w:p w14:paraId="6B344743">
      <w:pPr>
        <w:rPr>
          <w:rFonts w:hint="eastAsia" w:ascii="宋体" w:hAnsi="宋体" w:eastAsia="宋体" w:cs="宋体"/>
          <w:i w:val="0"/>
          <w:iCs w:val="0"/>
          <w:caps w:val="0"/>
          <w:color w:val="000000"/>
          <w:spacing w:val="0"/>
          <w:sz w:val="24"/>
          <w:szCs w:val="24"/>
          <w:bdr w:val="none" w:color="auto" w:sz="0" w:space="0"/>
        </w:rPr>
      </w:pPr>
      <w:r>
        <w:rPr>
          <w:rFonts w:hint="eastAsia" w:ascii="宋体" w:hAnsi="宋体" w:eastAsia="宋体" w:cs="宋体"/>
          <w:i w:val="0"/>
          <w:iCs w:val="0"/>
          <w:caps w:val="0"/>
          <w:color w:val="000000"/>
          <w:spacing w:val="0"/>
          <w:sz w:val="24"/>
          <w:szCs w:val="24"/>
          <w:bdr w:val="none" w:color="auto" w:sz="0" w:space="0"/>
        </w:rPr>
        <w:br w:type="page"/>
      </w:r>
    </w:p>
    <w:p w14:paraId="675F6A5D">
      <w:pPr>
        <w:rPr>
          <w:vanish/>
          <w:sz w:val="24"/>
          <w:szCs w:val="24"/>
        </w:rPr>
      </w:pPr>
    </w:p>
    <w:tbl>
      <w:tblPr>
        <w:tblW w:w="5000" w:type="pct"/>
        <w:jc w:val="center"/>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tblLayout w:type="autofit"/>
        <w:tblCellMar>
          <w:top w:w="0" w:type="dxa"/>
          <w:left w:w="0" w:type="dxa"/>
          <w:bottom w:w="0" w:type="dxa"/>
          <w:right w:w="0" w:type="dxa"/>
        </w:tblCellMar>
      </w:tblPr>
      <w:tblGrid>
        <w:gridCol w:w="990"/>
        <w:gridCol w:w="1913"/>
        <w:gridCol w:w="2042"/>
        <w:gridCol w:w="5805"/>
        <w:gridCol w:w="3201"/>
        <w:gridCol w:w="37"/>
      </w:tblGrid>
      <w:tr w14:paraId="691A076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tblCellMar>
            <w:top w:w="0" w:type="dxa"/>
            <w:left w:w="0" w:type="dxa"/>
            <w:bottom w:w="0" w:type="dxa"/>
            <w:right w:w="0" w:type="dxa"/>
          </w:tblCellMar>
        </w:tblPrEx>
        <w:trPr>
          <w:trHeight w:val="600" w:hRule="atLeast"/>
          <w:jc w:val="center"/>
        </w:trPr>
        <w:tc>
          <w:tcPr>
            <w:tcW w:w="5000" w:type="pct"/>
            <w:gridSpan w:val="6"/>
            <w:tcBorders>
              <w:top w:val="nil"/>
              <w:left w:val="nil"/>
              <w:bottom w:val="nil"/>
              <w:right w:val="nil"/>
            </w:tcBorders>
            <w:shd w:val="clear"/>
            <w:noWrap/>
            <w:tcMar>
              <w:top w:w="15" w:type="dxa"/>
              <w:left w:w="15" w:type="dxa"/>
              <w:right w:w="15" w:type="dxa"/>
            </w:tcMar>
            <w:vAlign w:val="center"/>
          </w:tcPr>
          <w:p w14:paraId="6FF23D0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附件2：</w:t>
            </w:r>
          </w:p>
        </w:tc>
      </w:tr>
      <w:tr w14:paraId="7E7A2CD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15" w:hRule="atLeast"/>
          <w:jc w:val="center"/>
        </w:trPr>
        <w:tc>
          <w:tcPr>
            <w:tcW w:w="4967" w:type="pct"/>
            <w:gridSpan w:val="5"/>
            <w:tcBorders>
              <w:top w:val="nil"/>
              <w:left w:val="nil"/>
              <w:bottom w:val="nil"/>
              <w:right w:val="nil"/>
            </w:tcBorders>
            <w:shd w:val="clear"/>
            <w:noWrap/>
            <w:tcMar>
              <w:top w:w="15" w:type="dxa"/>
              <w:left w:w="15" w:type="dxa"/>
              <w:right w:w="15" w:type="dxa"/>
            </w:tcMar>
            <w:vAlign w:val="center"/>
          </w:tcPr>
          <w:p w14:paraId="53443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强降雨极端天气地质灾害防治全流程管理工作清单</w:t>
            </w:r>
          </w:p>
        </w:tc>
        <w:tc>
          <w:tcPr>
            <w:tcW w:w="32" w:type="pct"/>
            <w:tcBorders>
              <w:top w:val="nil"/>
              <w:left w:val="nil"/>
              <w:bottom w:val="nil"/>
              <w:right w:val="nil"/>
            </w:tcBorders>
            <w:shd w:val="clear"/>
            <w:noWrap/>
            <w:tcMar>
              <w:top w:w="15" w:type="dxa"/>
              <w:left w:w="15" w:type="dxa"/>
              <w:right w:w="15" w:type="dxa"/>
            </w:tcMar>
            <w:vAlign w:val="center"/>
          </w:tcPr>
          <w:p w14:paraId="32A95284">
            <w:pPr>
              <w:rPr>
                <w:rFonts w:hint="eastAsia" w:ascii="宋体" w:hAnsi="宋体" w:eastAsia="宋体" w:cs="宋体"/>
                <w:i w:val="0"/>
                <w:iCs w:val="0"/>
                <w:color w:val="000000"/>
                <w:sz w:val="24"/>
                <w:szCs w:val="24"/>
                <w:u w:val="none"/>
              </w:rPr>
            </w:pPr>
          </w:p>
        </w:tc>
      </w:tr>
      <w:tr w14:paraId="78B7D59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900" w:hRule="atLeast"/>
          <w:jc w:val="center"/>
        </w:trPr>
        <w:tc>
          <w:tcPr>
            <w:tcW w:w="250" w:type="pct"/>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23545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工作阶段</w:t>
            </w:r>
          </w:p>
        </w:tc>
        <w:tc>
          <w:tcPr>
            <w:tcW w:w="705" w:type="pct"/>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71B56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工作任务</w:t>
            </w:r>
          </w:p>
        </w:tc>
        <w:tc>
          <w:tcPr>
            <w:tcW w:w="2847" w:type="pct"/>
            <w:gridSpan w:val="2"/>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7592B8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工作内容及流程</w:t>
            </w:r>
          </w:p>
        </w:tc>
        <w:tc>
          <w:tcPr>
            <w:tcW w:w="1163" w:type="pct"/>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6BD37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责任主体</w:t>
            </w:r>
          </w:p>
        </w:tc>
        <w:tc>
          <w:tcPr>
            <w:tcW w:w="32" w:type="pct"/>
            <w:tcBorders>
              <w:top w:val="nil"/>
              <w:left w:val="nil"/>
              <w:bottom w:val="nil"/>
              <w:right w:val="nil"/>
            </w:tcBorders>
            <w:shd w:val="clear"/>
            <w:noWrap/>
            <w:tcMar>
              <w:top w:w="15" w:type="dxa"/>
              <w:left w:w="15" w:type="dxa"/>
              <w:right w:w="15" w:type="dxa"/>
            </w:tcMar>
            <w:vAlign w:val="bottom"/>
          </w:tcPr>
          <w:p w14:paraId="20FCD9CE">
            <w:pPr>
              <w:rPr>
                <w:rFonts w:hint="eastAsia" w:ascii="宋体" w:hAnsi="宋体" w:eastAsia="宋体" w:cs="宋体"/>
                <w:i w:val="0"/>
                <w:iCs w:val="0"/>
                <w:color w:val="000000"/>
                <w:sz w:val="22"/>
                <w:szCs w:val="22"/>
                <w:u w:val="none"/>
              </w:rPr>
            </w:pPr>
          </w:p>
        </w:tc>
      </w:tr>
      <w:tr w14:paraId="7709747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250" w:type="pct"/>
            <w:vMerge w:val="restart"/>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5B897B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事前</w:t>
            </w:r>
          </w:p>
        </w:tc>
        <w:tc>
          <w:tcPr>
            <w:tcW w:w="705"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6FC03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预警防范</w:t>
            </w:r>
          </w:p>
        </w:tc>
        <w:tc>
          <w:tcPr>
            <w:tcW w:w="2847" w:type="pct"/>
            <w:gridSpan w:val="2"/>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6D554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接收气象部门发布的极端天气预警信息。</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0C9EB3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气象局、自然资源和规划局</w:t>
            </w:r>
          </w:p>
        </w:tc>
        <w:tc>
          <w:tcPr>
            <w:tcW w:w="32" w:type="pct"/>
            <w:tcBorders>
              <w:top w:val="nil"/>
              <w:left w:val="nil"/>
              <w:bottom w:val="nil"/>
              <w:right w:val="nil"/>
            </w:tcBorders>
            <w:shd w:val="clear"/>
            <w:noWrap/>
            <w:tcMar>
              <w:top w:w="15" w:type="dxa"/>
              <w:left w:w="15" w:type="dxa"/>
              <w:right w:w="15" w:type="dxa"/>
            </w:tcMar>
            <w:vAlign w:val="bottom"/>
          </w:tcPr>
          <w:p w14:paraId="4E0B360E">
            <w:pPr>
              <w:rPr>
                <w:rFonts w:hint="eastAsia" w:ascii="宋体" w:hAnsi="宋体" w:eastAsia="宋体" w:cs="宋体"/>
                <w:i w:val="0"/>
                <w:iCs w:val="0"/>
                <w:color w:val="000000"/>
                <w:sz w:val="22"/>
                <w:szCs w:val="22"/>
                <w:u w:val="none"/>
              </w:rPr>
            </w:pPr>
          </w:p>
        </w:tc>
      </w:tr>
      <w:tr w14:paraId="6E17DEB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96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14D9B8D1">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A4C10AD">
            <w:pPr>
              <w:jc w:val="center"/>
              <w:rPr>
                <w:rFonts w:hint="eastAsia" w:ascii="宋体" w:hAnsi="宋体" w:eastAsia="宋体" w:cs="宋体"/>
                <w:i w:val="0"/>
                <w:iCs w:val="0"/>
                <w:color w:val="000000"/>
                <w:sz w:val="24"/>
                <w:szCs w:val="24"/>
                <w:u w:val="none"/>
              </w:rPr>
            </w:pPr>
          </w:p>
        </w:tc>
        <w:tc>
          <w:tcPr>
            <w:tcW w:w="2847" w:type="pct"/>
            <w:gridSpan w:val="2"/>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824E3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将极端天气预警信息和工作指令传达至属地区镇、街道、村委和自然资源所，通过短信、电话极端天气预警信息告知所有受威胁群众和相关企事业单位做好防范工作。</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60B22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w:t>
            </w:r>
          </w:p>
        </w:tc>
        <w:tc>
          <w:tcPr>
            <w:tcW w:w="32" w:type="pct"/>
            <w:tcBorders>
              <w:top w:val="nil"/>
              <w:left w:val="nil"/>
              <w:bottom w:val="nil"/>
              <w:right w:val="nil"/>
            </w:tcBorders>
            <w:shd w:val="clear"/>
            <w:noWrap/>
            <w:tcMar>
              <w:top w:w="15" w:type="dxa"/>
              <w:left w:w="15" w:type="dxa"/>
              <w:right w:w="15" w:type="dxa"/>
            </w:tcMar>
            <w:vAlign w:val="bottom"/>
          </w:tcPr>
          <w:p w14:paraId="492E178F">
            <w:pPr>
              <w:rPr>
                <w:rFonts w:hint="eastAsia" w:ascii="宋体" w:hAnsi="宋体" w:eastAsia="宋体" w:cs="宋体"/>
                <w:i w:val="0"/>
                <w:iCs w:val="0"/>
                <w:color w:val="000000"/>
                <w:sz w:val="22"/>
                <w:szCs w:val="22"/>
                <w:u w:val="none"/>
              </w:rPr>
            </w:pPr>
          </w:p>
        </w:tc>
      </w:tr>
      <w:tr w14:paraId="2BC016F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6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14A96076">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10317215">
            <w:pPr>
              <w:jc w:val="center"/>
              <w:rPr>
                <w:rFonts w:hint="eastAsia" w:ascii="宋体" w:hAnsi="宋体" w:eastAsia="宋体" w:cs="宋体"/>
                <w:i w:val="0"/>
                <w:iCs w:val="0"/>
                <w:color w:val="000000"/>
                <w:sz w:val="24"/>
                <w:szCs w:val="24"/>
                <w:u w:val="none"/>
              </w:rPr>
            </w:pPr>
          </w:p>
        </w:tc>
        <w:tc>
          <w:tcPr>
            <w:tcW w:w="2847" w:type="pct"/>
            <w:gridSpan w:val="2"/>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046205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属地通过短信、电话或实地走访等形式将极端天气预警信息告知所有受威胁群众。</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32A1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11F6CD5A">
            <w:pPr>
              <w:rPr>
                <w:rFonts w:hint="eastAsia" w:ascii="宋体" w:hAnsi="宋体" w:eastAsia="宋体" w:cs="宋体"/>
                <w:i w:val="0"/>
                <w:iCs w:val="0"/>
                <w:color w:val="000000"/>
                <w:sz w:val="22"/>
                <w:szCs w:val="22"/>
                <w:u w:val="none"/>
              </w:rPr>
            </w:pPr>
          </w:p>
        </w:tc>
      </w:tr>
      <w:tr w14:paraId="452AC38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tblCellMar>
            <w:top w:w="0" w:type="dxa"/>
            <w:left w:w="0" w:type="dxa"/>
            <w:bottom w:w="0" w:type="dxa"/>
            <w:right w:w="0" w:type="dxa"/>
          </w:tblCellMar>
        </w:tblPrEx>
        <w:trPr>
          <w:trHeight w:val="84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57CEA317">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02D093D">
            <w:pPr>
              <w:jc w:val="center"/>
              <w:rPr>
                <w:rFonts w:hint="eastAsia" w:ascii="宋体" w:hAnsi="宋体" w:eastAsia="宋体" w:cs="宋体"/>
                <w:i w:val="0"/>
                <w:iCs w:val="0"/>
                <w:color w:val="000000"/>
                <w:sz w:val="24"/>
                <w:szCs w:val="24"/>
                <w:u w:val="none"/>
              </w:rPr>
            </w:pPr>
          </w:p>
        </w:tc>
        <w:tc>
          <w:tcPr>
            <w:tcW w:w="2847" w:type="pct"/>
            <w:gridSpan w:val="2"/>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799F5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市防指办发布防汛Ⅲ级应急响应后，视情况组织受威胁群众转移撤离；市防指办发布防汛Ⅱ级应急响应后第一时间组织受威胁群众转移撤离。</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6128E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245F63D8">
            <w:pPr>
              <w:rPr>
                <w:rFonts w:hint="eastAsia" w:ascii="宋体" w:hAnsi="宋体" w:eastAsia="宋体" w:cs="宋体"/>
                <w:i w:val="0"/>
                <w:iCs w:val="0"/>
                <w:color w:val="000000"/>
                <w:sz w:val="22"/>
                <w:szCs w:val="22"/>
                <w:u w:val="none"/>
              </w:rPr>
            </w:pPr>
          </w:p>
        </w:tc>
      </w:tr>
      <w:tr w14:paraId="662AC8C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4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5CA448A5">
            <w:pPr>
              <w:jc w:val="center"/>
              <w:rPr>
                <w:rFonts w:hint="eastAsia" w:ascii="宋体" w:hAnsi="宋体" w:eastAsia="宋体" w:cs="宋体"/>
                <w:i w:val="0"/>
                <w:iCs w:val="0"/>
                <w:color w:val="000000"/>
                <w:sz w:val="24"/>
                <w:szCs w:val="24"/>
                <w:u w:val="none"/>
              </w:rPr>
            </w:pPr>
          </w:p>
        </w:tc>
        <w:tc>
          <w:tcPr>
            <w:tcW w:w="705"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3D1B0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风险隐患排查</w:t>
            </w:r>
          </w:p>
        </w:tc>
        <w:tc>
          <w:tcPr>
            <w:tcW w:w="2847" w:type="pct"/>
            <w:gridSpan w:val="2"/>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61F34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组织属地区镇、街道和村委群测群防人员开展隐患排查工作。</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3F9700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4F1A18FD">
            <w:pPr>
              <w:rPr>
                <w:rFonts w:hint="eastAsia" w:ascii="宋体" w:hAnsi="宋体" w:eastAsia="宋体" w:cs="宋体"/>
                <w:i w:val="0"/>
                <w:iCs w:val="0"/>
                <w:color w:val="000000"/>
                <w:sz w:val="22"/>
                <w:szCs w:val="22"/>
                <w:u w:val="none"/>
              </w:rPr>
            </w:pPr>
          </w:p>
        </w:tc>
      </w:tr>
      <w:tr w14:paraId="5A6F829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8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2DAF9D36">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0DACEF78">
            <w:pPr>
              <w:jc w:val="center"/>
              <w:rPr>
                <w:rFonts w:hint="eastAsia" w:ascii="宋体" w:hAnsi="宋体" w:eastAsia="宋体" w:cs="宋体"/>
                <w:i w:val="0"/>
                <w:iCs w:val="0"/>
                <w:color w:val="000000"/>
                <w:sz w:val="24"/>
                <w:szCs w:val="24"/>
                <w:u w:val="none"/>
              </w:rPr>
            </w:pPr>
          </w:p>
        </w:tc>
        <w:tc>
          <w:tcPr>
            <w:tcW w:w="2847" w:type="pct"/>
            <w:gridSpan w:val="2"/>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A8520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如发现问题隐患第一时间制定整改措施，通知并督促属地区镇、街道和村委现场整改。</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1E21B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w:t>
            </w:r>
          </w:p>
        </w:tc>
        <w:tc>
          <w:tcPr>
            <w:tcW w:w="32" w:type="pct"/>
            <w:tcBorders>
              <w:top w:val="nil"/>
              <w:left w:val="nil"/>
              <w:bottom w:val="nil"/>
              <w:right w:val="nil"/>
            </w:tcBorders>
            <w:shd w:val="clear"/>
            <w:noWrap/>
            <w:tcMar>
              <w:top w:w="15" w:type="dxa"/>
              <w:left w:w="15" w:type="dxa"/>
              <w:right w:w="15" w:type="dxa"/>
            </w:tcMar>
            <w:vAlign w:val="bottom"/>
          </w:tcPr>
          <w:p w14:paraId="15DEE979">
            <w:pPr>
              <w:rPr>
                <w:rFonts w:hint="eastAsia" w:ascii="宋体" w:hAnsi="宋体" w:eastAsia="宋体" w:cs="宋体"/>
                <w:i w:val="0"/>
                <w:iCs w:val="0"/>
                <w:color w:val="000000"/>
                <w:sz w:val="22"/>
                <w:szCs w:val="22"/>
                <w:u w:val="none"/>
              </w:rPr>
            </w:pPr>
          </w:p>
        </w:tc>
      </w:tr>
      <w:tr w14:paraId="1BE74FC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0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0E071732">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F977C38">
            <w:pPr>
              <w:jc w:val="center"/>
              <w:rPr>
                <w:rFonts w:hint="eastAsia" w:ascii="宋体" w:hAnsi="宋体" w:eastAsia="宋体" w:cs="宋体"/>
                <w:i w:val="0"/>
                <w:iCs w:val="0"/>
                <w:color w:val="000000"/>
                <w:sz w:val="24"/>
                <w:szCs w:val="24"/>
                <w:u w:val="none"/>
              </w:rPr>
            </w:pPr>
          </w:p>
        </w:tc>
        <w:tc>
          <w:tcPr>
            <w:tcW w:w="2847" w:type="pct"/>
            <w:gridSpan w:val="2"/>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1E606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整改并将结果反馈至自然资源和规划局。</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5E58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34FDEBFF">
            <w:pPr>
              <w:rPr>
                <w:rFonts w:hint="eastAsia" w:ascii="宋体" w:hAnsi="宋体" w:eastAsia="宋体" w:cs="宋体"/>
                <w:i w:val="0"/>
                <w:iCs w:val="0"/>
                <w:color w:val="000000"/>
                <w:sz w:val="22"/>
                <w:szCs w:val="22"/>
                <w:u w:val="none"/>
              </w:rPr>
            </w:pPr>
          </w:p>
        </w:tc>
      </w:tr>
      <w:tr w14:paraId="0CE200E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5368D3EB">
            <w:pPr>
              <w:jc w:val="center"/>
              <w:rPr>
                <w:rFonts w:hint="eastAsia" w:ascii="宋体" w:hAnsi="宋体" w:eastAsia="宋体" w:cs="宋体"/>
                <w:i w:val="0"/>
                <w:iCs w:val="0"/>
                <w:color w:val="000000"/>
                <w:sz w:val="24"/>
                <w:szCs w:val="24"/>
                <w:u w:val="none"/>
              </w:rPr>
            </w:pPr>
          </w:p>
        </w:tc>
        <w:tc>
          <w:tcPr>
            <w:tcW w:w="705"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0F4A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应急设备、物资准备</w:t>
            </w:r>
          </w:p>
        </w:tc>
        <w:tc>
          <w:tcPr>
            <w:tcW w:w="2847" w:type="pct"/>
            <w:gridSpan w:val="2"/>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362B9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属地区镇、街道提前准备好应急处置时所需的器械设备（如挖机、铲车）等，或与器械设备租赁单位约定做好应急响应准备，一旦出现突发情况第一时间出动。</w:t>
            </w:r>
          </w:p>
        </w:tc>
        <w:tc>
          <w:tcPr>
            <w:tcW w:w="1163"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2F534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属地区镇、街道</w:t>
            </w:r>
          </w:p>
        </w:tc>
        <w:tc>
          <w:tcPr>
            <w:tcW w:w="32" w:type="pct"/>
            <w:tcBorders>
              <w:top w:val="nil"/>
              <w:left w:val="nil"/>
              <w:bottom w:val="nil"/>
              <w:right w:val="nil"/>
            </w:tcBorders>
            <w:shd w:val="clear"/>
            <w:noWrap/>
            <w:tcMar>
              <w:top w:w="15" w:type="dxa"/>
              <w:left w:w="15" w:type="dxa"/>
              <w:right w:w="15" w:type="dxa"/>
            </w:tcMar>
            <w:vAlign w:val="bottom"/>
          </w:tcPr>
          <w:p w14:paraId="78184544">
            <w:pPr>
              <w:rPr>
                <w:rFonts w:hint="eastAsia" w:ascii="宋体" w:hAnsi="宋体" w:eastAsia="宋体" w:cs="宋体"/>
                <w:i w:val="0"/>
                <w:iCs w:val="0"/>
                <w:color w:val="000000"/>
                <w:sz w:val="22"/>
                <w:szCs w:val="22"/>
                <w:u w:val="none"/>
              </w:rPr>
            </w:pPr>
          </w:p>
        </w:tc>
      </w:tr>
      <w:tr w14:paraId="120E7F0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tblCellMar>
            <w:top w:w="0" w:type="dxa"/>
            <w:left w:w="0" w:type="dxa"/>
            <w:bottom w:w="0" w:type="dxa"/>
            <w:right w:w="0" w:type="dxa"/>
          </w:tblCellMar>
        </w:tblPrEx>
        <w:trPr>
          <w:trHeight w:val="40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2E2D3726">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9AE2479">
            <w:pPr>
              <w:jc w:val="center"/>
              <w:rPr>
                <w:rFonts w:hint="eastAsia" w:ascii="宋体" w:hAnsi="宋体" w:eastAsia="宋体" w:cs="宋体"/>
                <w:i w:val="0"/>
                <w:iCs w:val="0"/>
                <w:color w:val="000000"/>
                <w:sz w:val="24"/>
                <w:szCs w:val="24"/>
                <w:u w:val="none"/>
              </w:rPr>
            </w:pPr>
          </w:p>
        </w:tc>
        <w:tc>
          <w:tcPr>
            <w:tcW w:w="2847" w:type="pct"/>
            <w:gridSpan w:val="2"/>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0FB5065">
            <w:pPr>
              <w:jc w:val="center"/>
              <w:rPr>
                <w:rFonts w:hint="eastAsia" w:ascii="宋体" w:hAnsi="宋体" w:eastAsia="宋体" w:cs="宋体"/>
                <w:i w:val="0"/>
                <w:iCs w:val="0"/>
                <w:color w:val="000000"/>
                <w:sz w:val="24"/>
                <w:szCs w:val="24"/>
                <w:u w:val="none"/>
              </w:rPr>
            </w:pPr>
          </w:p>
        </w:tc>
        <w:tc>
          <w:tcPr>
            <w:tcW w:w="1163"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BF4FDEA">
            <w:pPr>
              <w:jc w:val="center"/>
              <w:rPr>
                <w:rFonts w:hint="eastAsia" w:ascii="宋体" w:hAnsi="宋体" w:eastAsia="宋体" w:cs="宋体"/>
                <w:i w:val="0"/>
                <w:iCs w:val="0"/>
                <w:color w:val="000000"/>
                <w:sz w:val="24"/>
                <w:szCs w:val="24"/>
                <w:u w:val="none"/>
              </w:rPr>
            </w:pPr>
          </w:p>
        </w:tc>
        <w:tc>
          <w:tcPr>
            <w:tcW w:w="32" w:type="pct"/>
            <w:tcBorders>
              <w:top w:val="nil"/>
              <w:left w:val="nil"/>
              <w:bottom w:val="nil"/>
              <w:right w:val="nil"/>
            </w:tcBorders>
            <w:shd w:val="clear"/>
            <w:noWrap/>
            <w:tcMar>
              <w:top w:w="15" w:type="dxa"/>
              <w:left w:w="15" w:type="dxa"/>
              <w:right w:w="15" w:type="dxa"/>
            </w:tcMar>
            <w:vAlign w:val="bottom"/>
          </w:tcPr>
          <w:p w14:paraId="41E0F3B0">
            <w:pPr>
              <w:rPr>
                <w:rFonts w:hint="eastAsia" w:ascii="宋体" w:hAnsi="宋体" w:eastAsia="宋体" w:cs="宋体"/>
                <w:i w:val="0"/>
                <w:iCs w:val="0"/>
                <w:color w:val="000000"/>
                <w:sz w:val="22"/>
                <w:szCs w:val="22"/>
                <w:u w:val="none"/>
              </w:rPr>
            </w:pPr>
          </w:p>
        </w:tc>
      </w:tr>
      <w:tr w14:paraId="1D9BC34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0" w:hRule="atLeast"/>
          <w:jc w:val="center"/>
        </w:trPr>
        <w:tc>
          <w:tcPr>
            <w:tcW w:w="250" w:type="pct"/>
            <w:vMerge w:val="restart"/>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3727EE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事中</w:t>
            </w:r>
          </w:p>
        </w:tc>
        <w:tc>
          <w:tcPr>
            <w:tcW w:w="705"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0B0C77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动态监测和应急处置</w:t>
            </w:r>
          </w:p>
        </w:tc>
        <w:tc>
          <w:tcPr>
            <w:tcW w:w="751"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543FB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防汛Ⅳ级应急响应</w:t>
            </w:r>
          </w:p>
        </w:tc>
        <w:tc>
          <w:tcPr>
            <w:tcW w:w="2096"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4DE94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落实24小时值班制度，确保信息联络通畅。</w:t>
            </w:r>
          </w:p>
        </w:tc>
        <w:tc>
          <w:tcPr>
            <w:tcW w:w="1163"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1C81D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5108970B">
            <w:pPr>
              <w:rPr>
                <w:rFonts w:hint="eastAsia" w:ascii="宋体" w:hAnsi="宋体" w:eastAsia="宋体" w:cs="宋体"/>
                <w:i w:val="0"/>
                <w:iCs w:val="0"/>
                <w:color w:val="000000"/>
                <w:sz w:val="22"/>
                <w:szCs w:val="22"/>
                <w:u w:val="none"/>
              </w:rPr>
            </w:pPr>
          </w:p>
        </w:tc>
      </w:tr>
      <w:tr w14:paraId="75B0E95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tblCellMar>
            <w:top w:w="0" w:type="dxa"/>
            <w:left w:w="0" w:type="dxa"/>
            <w:bottom w:w="0" w:type="dxa"/>
            <w:right w:w="0" w:type="dxa"/>
          </w:tblCellMar>
        </w:tblPrEx>
        <w:trPr>
          <w:trHeight w:val="38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24C76FA3">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6325391F">
            <w:pPr>
              <w:jc w:val="center"/>
              <w:rPr>
                <w:rFonts w:hint="eastAsia" w:ascii="宋体" w:hAnsi="宋体" w:eastAsia="宋体" w:cs="宋体"/>
                <w:i w:val="0"/>
                <w:iCs w:val="0"/>
                <w:color w:val="000000"/>
                <w:sz w:val="24"/>
                <w:szCs w:val="24"/>
                <w:u w:val="none"/>
              </w:rPr>
            </w:pPr>
          </w:p>
        </w:tc>
        <w:tc>
          <w:tcPr>
            <w:tcW w:w="751"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0F556833">
            <w:pPr>
              <w:jc w:val="center"/>
              <w:rPr>
                <w:rFonts w:hint="eastAsia" w:ascii="宋体" w:hAnsi="宋体" w:eastAsia="宋体" w:cs="宋体"/>
                <w:i w:val="0"/>
                <w:iCs w:val="0"/>
                <w:color w:val="000000"/>
                <w:sz w:val="24"/>
                <w:szCs w:val="24"/>
                <w:u w:val="none"/>
              </w:rPr>
            </w:pPr>
          </w:p>
        </w:tc>
        <w:tc>
          <w:tcPr>
            <w:tcW w:w="2096"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0FCC38B4">
            <w:pPr>
              <w:jc w:val="center"/>
              <w:rPr>
                <w:rFonts w:hint="eastAsia" w:ascii="宋体" w:hAnsi="宋体" w:eastAsia="宋体" w:cs="宋体"/>
                <w:i w:val="0"/>
                <w:iCs w:val="0"/>
                <w:color w:val="000000"/>
                <w:sz w:val="24"/>
                <w:szCs w:val="24"/>
                <w:u w:val="none"/>
              </w:rPr>
            </w:pPr>
          </w:p>
        </w:tc>
        <w:tc>
          <w:tcPr>
            <w:tcW w:w="1163"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13E8381">
            <w:pPr>
              <w:jc w:val="center"/>
              <w:rPr>
                <w:rFonts w:hint="eastAsia" w:ascii="宋体" w:hAnsi="宋体" w:eastAsia="宋体" w:cs="宋体"/>
                <w:i w:val="0"/>
                <w:iCs w:val="0"/>
                <w:color w:val="000000"/>
                <w:sz w:val="24"/>
                <w:szCs w:val="24"/>
                <w:u w:val="none"/>
              </w:rPr>
            </w:pPr>
          </w:p>
        </w:tc>
        <w:tc>
          <w:tcPr>
            <w:tcW w:w="32" w:type="pct"/>
            <w:tcBorders>
              <w:top w:val="nil"/>
              <w:left w:val="nil"/>
              <w:bottom w:val="nil"/>
              <w:right w:val="nil"/>
            </w:tcBorders>
            <w:shd w:val="clear"/>
            <w:noWrap/>
            <w:tcMar>
              <w:top w:w="15" w:type="dxa"/>
              <w:left w:w="15" w:type="dxa"/>
              <w:right w:w="15" w:type="dxa"/>
            </w:tcMar>
            <w:vAlign w:val="bottom"/>
          </w:tcPr>
          <w:p w14:paraId="02E618E8">
            <w:pPr>
              <w:rPr>
                <w:rFonts w:hint="eastAsia" w:ascii="宋体" w:hAnsi="宋体" w:eastAsia="宋体" w:cs="宋体"/>
                <w:i w:val="0"/>
                <w:iCs w:val="0"/>
                <w:color w:val="000000"/>
                <w:sz w:val="22"/>
                <w:szCs w:val="22"/>
                <w:u w:val="none"/>
              </w:rPr>
            </w:pPr>
          </w:p>
        </w:tc>
      </w:tr>
      <w:tr w14:paraId="6CCE633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tblCellMar>
            <w:top w:w="0" w:type="dxa"/>
            <w:left w:w="0" w:type="dxa"/>
            <w:bottom w:w="0" w:type="dxa"/>
            <w:right w:w="0" w:type="dxa"/>
          </w:tblCellMar>
        </w:tblPrEx>
        <w:trPr>
          <w:trHeight w:val="66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69636A0E">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2AF5697">
            <w:pPr>
              <w:jc w:val="center"/>
              <w:rPr>
                <w:rFonts w:hint="eastAsia" w:ascii="宋体" w:hAnsi="宋体" w:eastAsia="宋体" w:cs="宋体"/>
                <w:i w:val="0"/>
                <w:iCs w:val="0"/>
                <w:color w:val="000000"/>
                <w:sz w:val="24"/>
                <w:szCs w:val="24"/>
                <w:u w:val="none"/>
              </w:rPr>
            </w:pPr>
          </w:p>
        </w:tc>
        <w:tc>
          <w:tcPr>
            <w:tcW w:w="751"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AA40F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防汛Ⅲ级应急响应（在Ⅳ级应急响应基础上）</w:t>
            </w:r>
          </w:p>
        </w:tc>
        <w:tc>
          <w:tcPr>
            <w:tcW w:w="2096"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FA681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落实领导带班和24小时专人值班制度。</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1DBC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3FDD412A">
            <w:pPr>
              <w:rPr>
                <w:rFonts w:hint="eastAsia" w:ascii="宋体" w:hAnsi="宋体" w:eastAsia="宋体" w:cs="宋体"/>
                <w:i w:val="0"/>
                <w:iCs w:val="0"/>
                <w:color w:val="000000"/>
                <w:sz w:val="22"/>
                <w:szCs w:val="22"/>
                <w:u w:val="none"/>
              </w:rPr>
            </w:pPr>
          </w:p>
        </w:tc>
      </w:tr>
      <w:tr w14:paraId="5263D4A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24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034897AA">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9FC245B">
            <w:pPr>
              <w:jc w:val="center"/>
              <w:rPr>
                <w:rFonts w:hint="eastAsia" w:ascii="宋体" w:hAnsi="宋体" w:eastAsia="宋体" w:cs="宋体"/>
                <w:i w:val="0"/>
                <w:iCs w:val="0"/>
                <w:color w:val="000000"/>
                <w:sz w:val="24"/>
                <w:szCs w:val="24"/>
                <w:u w:val="none"/>
              </w:rPr>
            </w:pPr>
          </w:p>
        </w:tc>
        <w:tc>
          <w:tcPr>
            <w:tcW w:w="751"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3E9C5352">
            <w:pPr>
              <w:jc w:val="center"/>
              <w:rPr>
                <w:rFonts w:hint="eastAsia" w:ascii="宋体" w:hAnsi="宋体" w:eastAsia="宋体" w:cs="宋体"/>
                <w:i w:val="0"/>
                <w:iCs w:val="0"/>
                <w:color w:val="000000"/>
                <w:sz w:val="24"/>
                <w:szCs w:val="24"/>
                <w:u w:val="none"/>
              </w:rPr>
            </w:pPr>
          </w:p>
        </w:tc>
        <w:tc>
          <w:tcPr>
            <w:tcW w:w="2096"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53E63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联合区镇、街道、村委群测群防人员加密巡查频次，观察土体边坡是否有开裂等险情征兆，劝阻逗留人员远离山体。</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CD69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47D65B38">
            <w:pPr>
              <w:rPr>
                <w:rFonts w:hint="eastAsia" w:ascii="宋体" w:hAnsi="宋体" w:eastAsia="宋体" w:cs="宋体"/>
                <w:i w:val="0"/>
                <w:iCs w:val="0"/>
                <w:color w:val="000000"/>
                <w:sz w:val="22"/>
                <w:szCs w:val="22"/>
                <w:u w:val="none"/>
              </w:rPr>
            </w:pPr>
          </w:p>
        </w:tc>
      </w:tr>
      <w:tr w14:paraId="7B42544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96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22D0855A">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32496C2">
            <w:pPr>
              <w:jc w:val="center"/>
              <w:rPr>
                <w:rFonts w:hint="eastAsia" w:ascii="宋体" w:hAnsi="宋体" w:eastAsia="宋体" w:cs="宋体"/>
                <w:i w:val="0"/>
                <w:iCs w:val="0"/>
                <w:color w:val="000000"/>
                <w:sz w:val="24"/>
                <w:szCs w:val="24"/>
                <w:u w:val="none"/>
              </w:rPr>
            </w:pPr>
          </w:p>
        </w:tc>
        <w:tc>
          <w:tcPr>
            <w:tcW w:w="751"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637E9323">
            <w:pPr>
              <w:jc w:val="center"/>
              <w:rPr>
                <w:rFonts w:hint="eastAsia" w:ascii="宋体" w:hAnsi="宋体" w:eastAsia="宋体" w:cs="宋体"/>
                <w:i w:val="0"/>
                <w:iCs w:val="0"/>
                <w:color w:val="000000"/>
                <w:sz w:val="24"/>
                <w:szCs w:val="24"/>
                <w:u w:val="none"/>
              </w:rPr>
            </w:pPr>
          </w:p>
        </w:tc>
        <w:tc>
          <w:tcPr>
            <w:tcW w:w="2096"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1ED0B4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如发现异常第一时间上报市防指办及两办，紧盯异常点位发展趋势并开展简易处置。</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65395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761A41A1">
            <w:pPr>
              <w:rPr>
                <w:rFonts w:hint="eastAsia" w:ascii="宋体" w:hAnsi="宋体" w:eastAsia="宋体" w:cs="宋体"/>
                <w:i w:val="0"/>
                <w:iCs w:val="0"/>
                <w:color w:val="000000"/>
                <w:sz w:val="22"/>
                <w:szCs w:val="22"/>
                <w:u w:val="none"/>
              </w:rPr>
            </w:pPr>
          </w:p>
        </w:tc>
      </w:tr>
      <w:tr w14:paraId="0635B6D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tblCellMar>
            <w:top w:w="0" w:type="dxa"/>
            <w:left w:w="0" w:type="dxa"/>
            <w:bottom w:w="0" w:type="dxa"/>
            <w:right w:w="0" w:type="dxa"/>
          </w:tblCellMar>
        </w:tblPrEx>
        <w:trPr>
          <w:trHeight w:val="72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46FB9A85">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3CC145A2">
            <w:pPr>
              <w:jc w:val="center"/>
              <w:rPr>
                <w:rFonts w:hint="eastAsia" w:ascii="宋体" w:hAnsi="宋体" w:eastAsia="宋体" w:cs="宋体"/>
                <w:i w:val="0"/>
                <w:iCs w:val="0"/>
                <w:color w:val="000000"/>
                <w:sz w:val="24"/>
                <w:szCs w:val="24"/>
                <w:u w:val="none"/>
              </w:rPr>
            </w:pPr>
          </w:p>
        </w:tc>
        <w:tc>
          <w:tcPr>
            <w:tcW w:w="751"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F5FF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防汛Ⅱ级应急响应（在Ⅲ级应急响应基础上）</w:t>
            </w:r>
          </w:p>
        </w:tc>
        <w:tc>
          <w:tcPr>
            <w:tcW w:w="2096"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1A296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做好突发地质灾害险情处置的准备。</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818AC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221616E0">
            <w:pPr>
              <w:rPr>
                <w:rFonts w:hint="eastAsia" w:ascii="宋体" w:hAnsi="宋体" w:eastAsia="宋体" w:cs="宋体"/>
                <w:i w:val="0"/>
                <w:iCs w:val="0"/>
                <w:color w:val="000000"/>
                <w:sz w:val="22"/>
                <w:szCs w:val="22"/>
                <w:u w:val="none"/>
              </w:rPr>
            </w:pPr>
          </w:p>
        </w:tc>
      </w:tr>
      <w:tr w14:paraId="294CB65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22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16937F76">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81DA864">
            <w:pPr>
              <w:jc w:val="center"/>
              <w:rPr>
                <w:rFonts w:hint="eastAsia" w:ascii="宋体" w:hAnsi="宋体" w:eastAsia="宋体" w:cs="宋体"/>
                <w:i w:val="0"/>
                <w:iCs w:val="0"/>
                <w:color w:val="000000"/>
                <w:sz w:val="24"/>
                <w:szCs w:val="24"/>
                <w:u w:val="none"/>
              </w:rPr>
            </w:pPr>
          </w:p>
        </w:tc>
        <w:tc>
          <w:tcPr>
            <w:tcW w:w="751"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33D839EA">
            <w:pPr>
              <w:jc w:val="center"/>
              <w:rPr>
                <w:rFonts w:hint="eastAsia" w:ascii="宋体" w:hAnsi="宋体" w:eastAsia="宋体" w:cs="宋体"/>
                <w:i w:val="0"/>
                <w:iCs w:val="0"/>
                <w:color w:val="000000"/>
                <w:sz w:val="24"/>
                <w:szCs w:val="24"/>
                <w:u w:val="none"/>
              </w:rPr>
            </w:pPr>
          </w:p>
        </w:tc>
        <w:tc>
          <w:tcPr>
            <w:tcW w:w="2096"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352A22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如发现险情快速上报，发现人员将险情信息报至属地村委、属地区镇、街道、自然资源和规划局。</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A63F7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4B5DE9AB">
            <w:pPr>
              <w:rPr>
                <w:rFonts w:hint="eastAsia" w:ascii="宋体" w:hAnsi="宋体" w:eastAsia="宋体" w:cs="宋体"/>
                <w:i w:val="0"/>
                <w:iCs w:val="0"/>
                <w:color w:val="000000"/>
                <w:sz w:val="22"/>
                <w:szCs w:val="22"/>
                <w:u w:val="none"/>
              </w:rPr>
            </w:pPr>
          </w:p>
        </w:tc>
      </w:tr>
      <w:tr w14:paraId="49E264F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tblCellMar>
            <w:top w:w="0" w:type="dxa"/>
            <w:left w:w="0" w:type="dxa"/>
            <w:bottom w:w="0" w:type="dxa"/>
            <w:right w:w="0" w:type="dxa"/>
          </w:tblCellMar>
        </w:tblPrEx>
        <w:trPr>
          <w:trHeight w:val="150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2C5E8801">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ABFCD02">
            <w:pPr>
              <w:jc w:val="center"/>
              <w:rPr>
                <w:rFonts w:hint="eastAsia" w:ascii="宋体" w:hAnsi="宋体" w:eastAsia="宋体" w:cs="宋体"/>
                <w:i w:val="0"/>
                <w:iCs w:val="0"/>
                <w:color w:val="000000"/>
                <w:sz w:val="24"/>
                <w:szCs w:val="24"/>
                <w:u w:val="none"/>
              </w:rPr>
            </w:pPr>
          </w:p>
        </w:tc>
        <w:tc>
          <w:tcPr>
            <w:tcW w:w="751"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5DF30E2">
            <w:pPr>
              <w:jc w:val="center"/>
              <w:rPr>
                <w:rFonts w:hint="eastAsia" w:ascii="宋体" w:hAnsi="宋体" w:eastAsia="宋体" w:cs="宋体"/>
                <w:i w:val="0"/>
                <w:iCs w:val="0"/>
                <w:color w:val="000000"/>
                <w:sz w:val="24"/>
                <w:szCs w:val="24"/>
                <w:u w:val="none"/>
              </w:rPr>
            </w:pPr>
          </w:p>
        </w:tc>
        <w:tc>
          <w:tcPr>
            <w:tcW w:w="2096"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66061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自然资源和规划局核实情况后将险情详细情况第一时间报市防指办和两办以及苏州市自然资源和规划局，必要时联系技术支撑队伍赶赴现场。</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032AD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w:t>
            </w:r>
          </w:p>
        </w:tc>
        <w:tc>
          <w:tcPr>
            <w:tcW w:w="32" w:type="pct"/>
            <w:tcBorders>
              <w:top w:val="nil"/>
              <w:left w:val="nil"/>
              <w:bottom w:val="nil"/>
              <w:right w:val="nil"/>
            </w:tcBorders>
            <w:shd w:val="clear"/>
            <w:noWrap/>
            <w:tcMar>
              <w:top w:w="15" w:type="dxa"/>
              <w:left w:w="15" w:type="dxa"/>
              <w:right w:w="15" w:type="dxa"/>
            </w:tcMar>
            <w:vAlign w:val="bottom"/>
          </w:tcPr>
          <w:p w14:paraId="44322CDE">
            <w:pPr>
              <w:rPr>
                <w:rFonts w:hint="eastAsia" w:ascii="宋体" w:hAnsi="宋体" w:eastAsia="宋体" w:cs="宋体"/>
                <w:i w:val="0"/>
                <w:iCs w:val="0"/>
                <w:color w:val="000000"/>
                <w:sz w:val="22"/>
                <w:szCs w:val="22"/>
                <w:u w:val="none"/>
              </w:rPr>
            </w:pPr>
          </w:p>
        </w:tc>
      </w:tr>
      <w:tr w14:paraId="464A788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tblCellMar>
            <w:top w:w="0" w:type="dxa"/>
            <w:left w:w="0" w:type="dxa"/>
            <w:bottom w:w="0" w:type="dxa"/>
            <w:right w:w="0" w:type="dxa"/>
          </w:tblCellMar>
        </w:tblPrEx>
        <w:trPr>
          <w:trHeight w:val="114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2B8EAADC">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E9862F9">
            <w:pPr>
              <w:jc w:val="center"/>
              <w:rPr>
                <w:rFonts w:hint="eastAsia" w:ascii="宋体" w:hAnsi="宋体" w:eastAsia="宋体" w:cs="宋体"/>
                <w:i w:val="0"/>
                <w:iCs w:val="0"/>
                <w:color w:val="000000"/>
                <w:sz w:val="24"/>
                <w:szCs w:val="24"/>
                <w:u w:val="none"/>
              </w:rPr>
            </w:pPr>
          </w:p>
        </w:tc>
        <w:tc>
          <w:tcPr>
            <w:tcW w:w="751"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A9F19DC">
            <w:pPr>
              <w:jc w:val="center"/>
              <w:rPr>
                <w:rFonts w:hint="eastAsia" w:ascii="宋体" w:hAnsi="宋体" w:eastAsia="宋体" w:cs="宋体"/>
                <w:i w:val="0"/>
                <w:iCs w:val="0"/>
                <w:color w:val="000000"/>
                <w:sz w:val="24"/>
                <w:szCs w:val="24"/>
                <w:u w:val="none"/>
              </w:rPr>
            </w:pPr>
          </w:p>
        </w:tc>
        <w:tc>
          <w:tcPr>
            <w:tcW w:w="2096"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7340C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组织区镇、街道和村委对现场进行临时管控，划定危险警戒范围，封锁危险区域，禁止无关人员进入。</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E3E60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67AF02D3">
            <w:pPr>
              <w:rPr>
                <w:rFonts w:hint="eastAsia" w:ascii="宋体" w:hAnsi="宋体" w:eastAsia="宋体" w:cs="宋体"/>
                <w:i w:val="0"/>
                <w:iCs w:val="0"/>
                <w:color w:val="000000"/>
                <w:sz w:val="22"/>
                <w:szCs w:val="22"/>
                <w:u w:val="none"/>
              </w:rPr>
            </w:pPr>
          </w:p>
        </w:tc>
      </w:tr>
      <w:tr w14:paraId="658AE61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55"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0AF01E96">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2DD43AE">
            <w:pPr>
              <w:jc w:val="center"/>
              <w:rPr>
                <w:rFonts w:hint="eastAsia" w:ascii="宋体" w:hAnsi="宋体" w:eastAsia="宋体" w:cs="宋体"/>
                <w:i w:val="0"/>
                <w:iCs w:val="0"/>
                <w:color w:val="000000"/>
                <w:sz w:val="24"/>
                <w:szCs w:val="24"/>
                <w:u w:val="none"/>
              </w:rPr>
            </w:pPr>
          </w:p>
        </w:tc>
        <w:tc>
          <w:tcPr>
            <w:tcW w:w="751"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B05ED91">
            <w:pPr>
              <w:jc w:val="center"/>
              <w:rPr>
                <w:rFonts w:hint="eastAsia" w:ascii="宋体" w:hAnsi="宋体" w:eastAsia="宋体" w:cs="宋体"/>
                <w:i w:val="0"/>
                <w:iCs w:val="0"/>
                <w:color w:val="000000"/>
                <w:sz w:val="24"/>
                <w:szCs w:val="24"/>
                <w:u w:val="none"/>
              </w:rPr>
            </w:pPr>
          </w:p>
        </w:tc>
        <w:tc>
          <w:tcPr>
            <w:tcW w:w="2096"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39A9E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主要负责人第一时间赶赴现场，协调开展救援等应急处置工作。</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FECDA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203E8DB9">
            <w:pPr>
              <w:rPr>
                <w:rFonts w:hint="eastAsia" w:ascii="宋体" w:hAnsi="宋体" w:eastAsia="宋体" w:cs="宋体"/>
                <w:i w:val="0"/>
                <w:iCs w:val="0"/>
                <w:color w:val="000000"/>
                <w:sz w:val="22"/>
                <w:szCs w:val="22"/>
                <w:u w:val="none"/>
              </w:rPr>
            </w:pPr>
          </w:p>
        </w:tc>
      </w:tr>
      <w:tr w14:paraId="5C57803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250" w:type="pct"/>
            <w:vMerge w:val="restart"/>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501D9F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事后</w:t>
            </w:r>
          </w:p>
        </w:tc>
        <w:tc>
          <w:tcPr>
            <w:tcW w:w="705"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CDA25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风险复核和复盘总结</w:t>
            </w:r>
          </w:p>
        </w:tc>
        <w:tc>
          <w:tcPr>
            <w:tcW w:w="2847" w:type="pct"/>
            <w:gridSpan w:val="2"/>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13E86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极端天气结束后的24小时内，组织属地区镇、街道和村委开展隐患核查，必要时邀请技术支撑单位开展现场核查。</w:t>
            </w:r>
          </w:p>
        </w:tc>
        <w:tc>
          <w:tcPr>
            <w:tcW w:w="1163" w:type="pct"/>
            <w:vMerge w:val="restar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22E2D4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0E891722">
            <w:pPr>
              <w:rPr>
                <w:rFonts w:hint="eastAsia" w:ascii="宋体" w:hAnsi="宋体" w:eastAsia="宋体" w:cs="宋体"/>
                <w:i w:val="0"/>
                <w:iCs w:val="0"/>
                <w:color w:val="000000"/>
                <w:sz w:val="22"/>
                <w:szCs w:val="22"/>
                <w:u w:val="none"/>
              </w:rPr>
            </w:pPr>
          </w:p>
        </w:tc>
      </w:tr>
      <w:tr w14:paraId="15558E6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shd w:val="clear"/>
          <w:tblCellMar>
            <w:top w:w="0" w:type="dxa"/>
            <w:left w:w="0" w:type="dxa"/>
            <w:bottom w:w="0" w:type="dxa"/>
            <w:right w:w="0" w:type="dxa"/>
          </w:tblCellMar>
        </w:tblPrEx>
        <w:trPr>
          <w:trHeight w:val="30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139AD253">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11598545">
            <w:pPr>
              <w:jc w:val="center"/>
              <w:rPr>
                <w:rFonts w:hint="eastAsia" w:ascii="宋体" w:hAnsi="宋体" w:eastAsia="宋体" w:cs="宋体"/>
                <w:i w:val="0"/>
                <w:iCs w:val="0"/>
                <w:color w:val="000000"/>
                <w:sz w:val="24"/>
                <w:szCs w:val="24"/>
                <w:u w:val="none"/>
              </w:rPr>
            </w:pPr>
          </w:p>
        </w:tc>
        <w:tc>
          <w:tcPr>
            <w:tcW w:w="2847" w:type="pct"/>
            <w:gridSpan w:val="2"/>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40FF86FA">
            <w:pPr>
              <w:jc w:val="center"/>
              <w:rPr>
                <w:rFonts w:hint="eastAsia" w:ascii="宋体" w:hAnsi="宋体" w:eastAsia="宋体" w:cs="宋体"/>
                <w:i w:val="0"/>
                <w:iCs w:val="0"/>
                <w:color w:val="000000"/>
                <w:sz w:val="24"/>
                <w:szCs w:val="24"/>
                <w:u w:val="none"/>
              </w:rPr>
            </w:pPr>
          </w:p>
        </w:tc>
        <w:tc>
          <w:tcPr>
            <w:tcW w:w="1163"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653DD919">
            <w:pPr>
              <w:jc w:val="center"/>
              <w:rPr>
                <w:rFonts w:hint="eastAsia" w:ascii="宋体" w:hAnsi="宋体" w:eastAsia="宋体" w:cs="宋体"/>
                <w:i w:val="0"/>
                <w:iCs w:val="0"/>
                <w:color w:val="000000"/>
                <w:sz w:val="24"/>
                <w:szCs w:val="24"/>
                <w:u w:val="none"/>
              </w:rPr>
            </w:pPr>
          </w:p>
        </w:tc>
        <w:tc>
          <w:tcPr>
            <w:tcW w:w="32" w:type="pct"/>
            <w:tcBorders>
              <w:top w:val="nil"/>
              <w:left w:val="nil"/>
              <w:bottom w:val="nil"/>
              <w:right w:val="nil"/>
            </w:tcBorders>
            <w:shd w:val="clear"/>
            <w:noWrap/>
            <w:tcMar>
              <w:top w:w="15" w:type="dxa"/>
              <w:left w:w="15" w:type="dxa"/>
              <w:right w:w="15" w:type="dxa"/>
            </w:tcMar>
            <w:vAlign w:val="bottom"/>
          </w:tcPr>
          <w:p w14:paraId="0A9DD6CE">
            <w:pPr>
              <w:rPr>
                <w:rFonts w:hint="eastAsia" w:ascii="宋体" w:hAnsi="宋体" w:eastAsia="宋体" w:cs="宋体"/>
                <w:i w:val="0"/>
                <w:iCs w:val="0"/>
                <w:color w:val="000000"/>
                <w:sz w:val="22"/>
                <w:szCs w:val="22"/>
                <w:u w:val="none"/>
              </w:rPr>
            </w:pPr>
          </w:p>
        </w:tc>
      </w:tr>
      <w:tr w14:paraId="52114F0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4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3FA16765">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A516307">
            <w:pPr>
              <w:jc w:val="center"/>
              <w:rPr>
                <w:rFonts w:hint="eastAsia" w:ascii="宋体" w:hAnsi="宋体" w:eastAsia="宋体" w:cs="宋体"/>
                <w:i w:val="0"/>
                <w:iCs w:val="0"/>
                <w:color w:val="000000"/>
                <w:sz w:val="24"/>
                <w:szCs w:val="24"/>
                <w:u w:val="none"/>
              </w:rPr>
            </w:pPr>
          </w:p>
        </w:tc>
        <w:tc>
          <w:tcPr>
            <w:tcW w:w="2847" w:type="pct"/>
            <w:gridSpan w:val="2"/>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D36F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如发现问题隐患，指导属地区镇、街道和村委开展现场处置。</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8F4E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260A58C5">
            <w:pPr>
              <w:rPr>
                <w:rFonts w:hint="eastAsia" w:ascii="宋体" w:hAnsi="宋体" w:eastAsia="宋体" w:cs="宋体"/>
                <w:i w:val="0"/>
                <w:iCs w:val="0"/>
                <w:color w:val="000000"/>
                <w:sz w:val="22"/>
                <w:szCs w:val="22"/>
                <w:u w:val="none"/>
              </w:rPr>
            </w:pPr>
          </w:p>
        </w:tc>
      </w:tr>
      <w:tr w14:paraId="0873B77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1E30EBB7">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35537007">
            <w:pPr>
              <w:jc w:val="center"/>
              <w:rPr>
                <w:rFonts w:hint="eastAsia" w:ascii="宋体" w:hAnsi="宋体" w:eastAsia="宋体" w:cs="宋体"/>
                <w:i w:val="0"/>
                <w:iCs w:val="0"/>
                <w:color w:val="000000"/>
                <w:sz w:val="24"/>
                <w:szCs w:val="24"/>
                <w:u w:val="none"/>
              </w:rPr>
            </w:pPr>
          </w:p>
        </w:tc>
        <w:tc>
          <w:tcPr>
            <w:tcW w:w="2847" w:type="pct"/>
            <w:gridSpan w:val="2"/>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548FB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全面复盘本轮极端天气全过程工作，剖析问题根源，生成复盘工作报告并附问题清单、整改清单。</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05BCF6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自然资源和规划局</w:t>
            </w:r>
          </w:p>
        </w:tc>
        <w:tc>
          <w:tcPr>
            <w:tcW w:w="32" w:type="pct"/>
            <w:tcBorders>
              <w:top w:val="nil"/>
              <w:left w:val="nil"/>
              <w:bottom w:val="nil"/>
              <w:right w:val="nil"/>
            </w:tcBorders>
            <w:shd w:val="clear"/>
            <w:noWrap/>
            <w:tcMar>
              <w:top w:w="15" w:type="dxa"/>
              <w:left w:w="15" w:type="dxa"/>
              <w:right w:w="15" w:type="dxa"/>
            </w:tcMar>
            <w:vAlign w:val="bottom"/>
          </w:tcPr>
          <w:p w14:paraId="336F1284">
            <w:pPr>
              <w:rPr>
                <w:rFonts w:hint="eastAsia" w:ascii="宋体" w:hAnsi="宋体" w:eastAsia="宋体" w:cs="宋体"/>
                <w:i w:val="0"/>
                <w:iCs w:val="0"/>
                <w:color w:val="000000"/>
                <w:sz w:val="22"/>
                <w:szCs w:val="22"/>
                <w:u w:val="none"/>
              </w:rPr>
            </w:pPr>
          </w:p>
        </w:tc>
      </w:tr>
      <w:tr w14:paraId="28B327E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40" w:hRule="atLeast"/>
          <w:jc w:val="center"/>
        </w:trPr>
        <w:tc>
          <w:tcPr>
            <w:tcW w:w="250" w:type="pct"/>
            <w:vMerge w:val="continue"/>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44BD7D17">
            <w:pPr>
              <w:jc w:val="center"/>
              <w:rPr>
                <w:rFonts w:hint="eastAsia" w:ascii="宋体" w:hAnsi="宋体" w:eastAsia="宋体" w:cs="宋体"/>
                <w:i w:val="0"/>
                <w:iCs w:val="0"/>
                <w:color w:val="000000"/>
                <w:sz w:val="24"/>
                <w:szCs w:val="24"/>
                <w:u w:val="none"/>
              </w:rPr>
            </w:pPr>
          </w:p>
        </w:tc>
        <w:tc>
          <w:tcPr>
            <w:tcW w:w="705" w:type="pct"/>
            <w:vMerge w:val="continue"/>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0DB00789">
            <w:pPr>
              <w:jc w:val="center"/>
              <w:rPr>
                <w:rFonts w:hint="eastAsia" w:ascii="宋体" w:hAnsi="宋体" w:eastAsia="宋体" w:cs="宋体"/>
                <w:i w:val="0"/>
                <w:iCs w:val="0"/>
                <w:color w:val="000000"/>
                <w:sz w:val="24"/>
                <w:szCs w:val="24"/>
                <w:u w:val="none"/>
              </w:rPr>
            </w:pPr>
          </w:p>
        </w:tc>
        <w:tc>
          <w:tcPr>
            <w:tcW w:w="2847" w:type="pct"/>
            <w:gridSpan w:val="2"/>
            <w:tcBorders>
              <w:top w:val="single" w:color="auto" w:sz="8" w:space="0"/>
              <w:left w:val="single" w:color="auto" w:sz="8" w:space="0"/>
              <w:bottom w:val="single" w:color="auto" w:sz="8" w:space="0"/>
              <w:right w:val="single" w:color="auto" w:sz="8" w:space="0"/>
            </w:tcBorders>
            <w:shd w:val="clear"/>
            <w:noWrap/>
            <w:tcMar>
              <w:top w:w="15" w:type="dxa"/>
              <w:left w:w="15" w:type="dxa"/>
              <w:right w:w="15" w:type="dxa"/>
            </w:tcMar>
            <w:vAlign w:val="center"/>
          </w:tcPr>
          <w:p w14:paraId="2B87A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根据整改清单实施整改措施，完成后报自然资源和规划局复核。</w:t>
            </w:r>
          </w:p>
        </w:tc>
        <w:tc>
          <w:tcPr>
            <w:tcW w:w="1163" w:type="pct"/>
            <w:tcBorders>
              <w:top w:val="single" w:color="auto" w:sz="8" w:space="0"/>
              <w:left w:val="single" w:color="auto" w:sz="8" w:space="0"/>
              <w:bottom w:val="single" w:color="auto" w:sz="8" w:space="0"/>
              <w:right w:val="single" w:color="auto" w:sz="8" w:space="0"/>
            </w:tcBorders>
            <w:shd w:val="clear"/>
            <w:tcMar>
              <w:top w:w="15" w:type="dxa"/>
              <w:left w:w="15" w:type="dxa"/>
              <w:right w:w="15" w:type="dxa"/>
            </w:tcMar>
            <w:vAlign w:val="center"/>
          </w:tcPr>
          <w:p w14:paraId="7E403B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属地区镇、街道和村委</w:t>
            </w:r>
          </w:p>
        </w:tc>
        <w:tc>
          <w:tcPr>
            <w:tcW w:w="32" w:type="pct"/>
            <w:tcBorders>
              <w:top w:val="nil"/>
              <w:left w:val="nil"/>
              <w:bottom w:val="nil"/>
              <w:right w:val="nil"/>
            </w:tcBorders>
            <w:shd w:val="clear"/>
            <w:noWrap/>
            <w:tcMar>
              <w:top w:w="15" w:type="dxa"/>
              <w:left w:w="15" w:type="dxa"/>
              <w:right w:w="15" w:type="dxa"/>
            </w:tcMar>
            <w:vAlign w:val="bottom"/>
          </w:tcPr>
          <w:p w14:paraId="30684509">
            <w:pPr>
              <w:rPr>
                <w:rFonts w:hint="eastAsia" w:ascii="宋体" w:hAnsi="宋体" w:eastAsia="宋体" w:cs="宋体"/>
                <w:i w:val="0"/>
                <w:iCs w:val="0"/>
                <w:color w:val="000000"/>
                <w:sz w:val="22"/>
                <w:szCs w:val="22"/>
                <w:u w:val="none"/>
              </w:rPr>
            </w:pPr>
          </w:p>
        </w:tc>
      </w:tr>
    </w:tbl>
    <w:p w14:paraId="6C2B198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F77E57"/>
    <w:rsid w:val="18F77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9</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2026-08-27T06:50:00Z</dcterms:created>
  <dc:creator>施沁辰</dc:creator>
  <cp:lastModifiedBy>施沁辰</cp:lastModifiedBy>
  <dcterms:modified xsi:type="dcterms:W3CDTF">2026-08-27T07:00:44Z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0CCF13E94C534286B358E4AA15D7A47D_11</vt:lpwstr>
  </property>
  <property fmtid="{D5CDD505-2E9C-101B-9397-08002B2CF9AE}" pid="4" name="KSOTemplateDocerSaveRecord">
    <vt:lpwstr>eyJoZGlkIjoiNTY3ZTIxNDhlMmQ5ZDZlYzg4ZTFiOTFjOGM2NmQ2NGIiLCJ1c2VySWQiOiI0NjM5MjYwNjkifQ==</vt:lpwstr>
  </property>
</Properties>
</file>