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C5F" w:rsidRDefault="00FC77F3" w:rsidP="00FC77F3">
      <w:pPr>
        <w:jc w:val="center"/>
        <w:rPr>
          <w:rFonts w:ascii="方正小标宋_GBK" w:eastAsia="方正小标宋_GBK" w:hAnsi="Times New Roman"/>
          <w:sz w:val="44"/>
          <w:szCs w:val="44"/>
        </w:rPr>
      </w:pPr>
      <w:r>
        <w:rPr>
          <w:rFonts w:ascii="方正小标宋_GBK" w:eastAsia="方正小标宋_GBK" w:hAnsi="Times New Roman" w:hint="eastAsia"/>
          <w:sz w:val="44"/>
          <w:szCs w:val="44"/>
        </w:rPr>
        <w:t>苏州市人民政府关于公布</w:t>
      </w:r>
      <w:r w:rsidRPr="00EA5633">
        <w:rPr>
          <w:rFonts w:ascii="方正小标宋_GBK" w:eastAsia="方正小标宋_GBK" w:hAnsi="Times New Roman"/>
          <w:sz w:val="44"/>
          <w:szCs w:val="44"/>
        </w:rPr>
        <w:t>苏州市市区征地区片综合地价</w:t>
      </w:r>
      <w:r>
        <w:rPr>
          <w:rFonts w:ascii="方正小标宋_GBK" w:eastAsia="方正小标宋_GBK" w:hAnsi="Times New Roman" w:hint="eastAsia"/>
          <w:sz w:val="44"/>
          <w:szCs w:val="44"/>
        </w:rPr>
        <w:t>标准的通知</w:t>
      </w:r>
    </w:p>
    <w:p w:rsidR="003C057F" w:rsidRPr="00A81C5F" w:rsidRDefault="00FC77F3" w:rsidP="00FC77F3">
      <w:pPr>
        <w:jc w:val="center"/>
        <w:rPr>
          <w:rFonts w:ascii="方正小标宋_GBK" w:eastAsia="方正小标宋_GBK" w:hAnsi="Times New Roman"/>
          <w:sz w:val="32"/>
          <w:szCs w:val="32"/>
        </w:rPr>
      </w:pPr>
      <w:r w:rsidRPr="00A81C5F">
        <w:rPr>
          <w:rFonts w:ascii="方正小标宋_GBK" w:eastAsia="方正小标宋_GBK" w:hAnsi="Times New Roman"/>
          <w:sz w:val="32"/>
          <w:szCs w:val="32"/>
        </w:rPr>
        <w:t>（征求意见稿）</w:t>
      </w:r>
    </w:p>
    <w:p w:rsidR="00A34BB8" w:rsidRDefault="00A34BB8" w:rsidP="00FC77F3">
      <w:pPr>
        <w:rPr>
          <w:rFonts w:ascii="仿宋_GB2312" w:eastAsia="仿宋_GB2312"/>
          <w:sz w:val="32"/>
          <w:szCs w:val="32"/>
        </w:rPr>
      </w:pPr>
    </w:p>
    <w:p w:rsidR="00FC77F3" w:rsidRDefault="00FC77F3" w:rsidP="00EB63CA">
      <w:pPr>
        <w:spacing w:line="580" w:lineRule="exact"/>
        <w:rPr>
          <w:rFonts w:ascii="仿宋_GB2312" w:eastAsia="仿宋_GB2312"/>
          <w:sz w:val="32"/>
          <w:szCs w:val="32"/>
        </w:rPr>
      </w:pPr>
      <w:r>
        <w:rPr>
          <w:rFonts w:ascii="仿宋_GB2312" w:eastAsia="仿宋_GB2312" w:hint="eastAsia"/>
          <w:sz w:val="32"/>
          <w:szCs w:val="32"/>
        </w:rPr>
        <w:t>各区人民政府（管委会），市级有关单位：</w:t>
      </w:r>
    </w:p>
    <w:p w:rsidR="00FC77F3" w:rsidRDefault="00FC77F3"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为进一步做好我市集体土地征收补偿工作，切实维护被征地农民和农村集体经济组织的合法权益，保障被征地农民原有生活水平不降低、长远生计有保障，按照2019年8月26日新修正的《中华人民共和国土地管理法》和《省政府关于公布江苏省征地区片综合地价最低标准的通知》（苏政发〔2020〕44号）有关规定，结合我市实际，</w:t>
      </w:r>
      <w:r w:rsidR="00521BF9">
        <w:rPr>
          <w:rFonts w:ascii="仿宋_GB2312" w:eastAsia="仿宋_GB2312" w:hint="eastAsia"/>
          <w:sz w:val="32"/>
          <w:szCs w:val="32"/>
        </w:rPr>
        <w:t>由苏州市人民政府公布我市市区征地区片综合地价标准，</w:t>
      </w:r>
      <w:r>
        <w:rPr>
          <w:rFonts w:ascii="仿宋_GB2312" w:eastAsia="仿宋_GB2312" w:hint="eastAsia"/>
          <w:sz w:val="32"/>
          <w:szCs w:val="32"/>
        </w:rPr>
        <w:t>调整土地补偿费和安置补助费标准。现就有关事项通知如下：</w:t>
      </w:r>
    </w:p>
    <w:p w:rsidR="00FC77F3" w:rsidRDefault="00FC77F3"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一、</w:t>
      </w:r>
      <w:r w:rsidR="00F56002">
        <w:rPr>
          <w:rFonts w:ascii="仿宋_GB2312" w:eastAsia="仿宋_GB2312" w:hint="eastAsia"/>
          <w:sz w:val="32"/>
          <w:szCs w:val="32"/>
        </w:rPr>
        <w:t>征地区片综合地价由土地补偿费和安置补助费组成，不包括法律规定用于社会保险缴费补贴的被征地农民社会保障费用、地上附着物和青苗等的补偿费用。</w:t>
      </w:r>
    </w:p>
    <w:p w:rsidR="00FC77F3" w:rsidRDefault="00F56002"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二、本标准适用于苏州市姑苏区、工业园区、虎丘区范围内征收集体土地涉及的补偿。</w:t>
      </w:r>
      <w:r w:rsidR="00150BA0">
        <w:rPr>
          <w:rFonts w:ascii="仿宋_GB2312" w:eastAsia="仿宋_GB2312" w:hint="eastAsia"/>
          <w:sz w:val="32"/>
          <w:szCs w:val="32"/>
        </w:rPr>
        <w:t>吴中区、相城区应相应制定征地区片综合地价补偿标准，并经省人民政府批准后公布实施。</w:t>
      </w:r>
    </w:p>
    <w:p w:rsidR="00F56002" w:rsidRDefault="00F56002"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三、</w:t>
      </w:r>
      <w:r w:rsidRPr="005313AE">
        <w:rPr>
          <w:rFonts w:ascii="仿宋_GB2312" w:eastAsia="仿宋_GB2312" w:hint="eastAsia"/>
          <w:sz w:val="32"/>
          <w:szCs w:val="32"/>
        </w:rPr>
        <w:t>按照区片范围不打</w:t>
      </w:r>
      <w:r w:rsidRPr="001404AC">
        <w:rPr>
          <w:rFonts w:ascii="仿宋_GB2312" w:eastAsia="仿宋_GB2312" w:hint="eastAsia"/>
          <w:sz w:val="32"/>
          <w:szCs w:val="32"/>
        </w:rPr>
        <w:t>破行政村界线的原则，以及省厅有关各县（市）、区原则上要划定2个区片以上的要求，</w:t>
      </w:r>
      <w:r>
        <w:rPr>
          <w:rFonts w:ascii="仿宋_GB2312" w:eastAsia="仿宋_GB2312" w:hint="eastAsia"/>
          <w:sz w:val="32"/>
          <w:szCs w:val="32"/>
        </w:rPr>
        <w:t>姑</w:t>
      </w:r>
      <w:r>
        <w:rPr>
          <w:rFonts w:ascii="仿宋_GB2312" w:eastAsia="仿宋_GB2312" w:hint="eastAsia"/>
          <w:sz w:val="32"/>
          <w:szCs w:val="32"/>
        </w:rPr>
        <w:lastRenderedPageBreak/>
        <w:t>苏区、工业园区和虎丘区作为</w:t>
      </w:r>
      <w:r w:rsidRPr="001404AC">
        <w:rPr>
          <w:rFonts w:ascii="仿宋_GB2312" w:eastAsia="仿宋_GB2312" w:hint="eastAsia"/>
          <w:sz w:val="32"/>
          <w:szCs w:val="32"/>
        </w:rPr>
        <w:t>整体划定两个区片，</w:t>
      </w:r>
      <w:r>
        <w:rPr>
          <w:rFonts w:ascii="仿宋_GB2312" w:eastAsia="仿宋_GB2312" w:hint="eastAsia"/>
          <w:sz w:val="32"/>
          <w:szCs w:val="32"/>
        </w:rPr>
        <w:t>征地区片范围以公布的苏州市市区征地区片综合地价分布图为准。</w:t>
      </w:r>
    </w:p>
    <w:p w:rsidR="00F56002" w:rsidRDefault="00F56002"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四、征收</w:t>
      </w:r>
      <w:r w:rsidR="009F557F">
        <w:rPr>
          <w:rFonts w:ascii="仿宋_GB2312" w:eastAsia="仿宋_GB2312" w:hint="eastAsia"/>
          <w:sz w:val="32"/>
          <w:szCs w:val="32"/>
        </w:rPr>
        <w:t>集体</w:t>
      </w:r>
      <w:r>
        <w:rPr>
          <w:rFonts w:ascii="仿宋_GB2312" w:eastAsia="仿宋_GB2312" w:hint="eastAsia"/>
          <w:sz w:val="32"/>
          <w:szCs w:val="32"/>
        </w:rPr>
        <w:t>农用地区片综合地价标准：</w:t>
      </w:r>
      <w:r w:rsidRPr="001404AC">
        <w:rPr>
          <w:rFonts w:ascii="仿宋_GB2312" w:eastAsia="仿宋_GB2312" w:hint="eastAsia"/>
          <w:sz w:val="32"/>
          <w:szCs w:val="32"/>
        </w:rPr>
        <w:t>区片Ⅰ为65600元/亩，区片Ⅱ为64600元/亩。</w:t>
      </w:r>
      <w:r>
        <w:rPr>
          <w:rFonts w:ascii="仿宋_GB2312" w:eastAsia="仿宋_GB2312" w:hint="eastAsia"/>
          <w:sz w:val="32"/>
          <w:szCs w:val="32"/>
        </w:rPr>
        <w:t>征收集体建设用地参照所在区片集体农用地区片综合地价标准执行。征收集体未利用地参照所在区片征收集体农用地区片</w:t>
      </w:r>
      <w:r w:rsidR="009F557F">
        <w:rPr>
          <w:rFonts w:ascii="仿宋_GB2312" w:eastAsia="仿宋_GB2312" w:hint="eastAsia"/>
          <w:sz w:val="32"/>
          <w:szCs w:val="32"/>
        </w:rPr>
        <w:t>综合地价标准的0.7倍执行。涉及征收依法取得的集体经营性建设用地采用宗地地价评估的方式确定。</w:t>
      </w:r>
    </w:p>
    <w:p w:rsidR="009F557F" w:rsidRPr="009F557F" w:rsidRDefault="009F557F" w:rsidP="00EB63CA">
      <w:pPr>
        <w:spacing w:line="580" w:lineRule="exact"/>
        <w:ind w:firstLineChars="200" w:firstLine="640"/>
        <w:rPr>
          <w:rFonts w:ascii="Times New Roman" w:eastAsia="仿宋" w:hAnsi="Times New Roman" w:cs="仿宋"/>
          <w:sz w:val="28"/>
          <w:szCs w:val="28"/>
          <w:lang w:bidi="zh-CN"/>
        </w:rPr>
      </w:pPr>
      <w:r>
        <w:rPr>
          <w:rFonts w:ascii="仿宋_GB2312" w:eastAsia="仿宋_GB2312" w:hint="eastAsia"/>
          <w:sz w:val="32"/>
          <w:szCs w:val="32"/>
        </w:rPr>
        <w:t>五、根据我市经济社会发展状况，调整土地补偿费和安置补助费标准，具体如下：市区征收农用地的土地补偿费标准，区片</w:t>
      </w:r>
      <w:r w:rsidRPr="001404AC">
        <w:rPr>
          <w:rFonts w:ascii="仿宋_GB2312" w:eastAsia="仿宋_GB2312" w:hint="eastAsia"/>
          <w:sz w:val="32"/>
          <w:szCs w:val="32"/>
        </w:rPr>
        <w:t>Ⅰ</w:t>
      </w:r>
      <w:r>
        <w:rPr>
          <w:rFonts w:ascii="仿宋_GB2312" w:eastAsia="仿宋_GB2312" w:hint="eastAsia"/>
          <w:sz w:val="32"/>
          <w:szCs w:val="32"/>
        </w:rPr>
        <w:t>和区片</w:t>
      </w:r>
      <w:r w:rsidRPr="001404AC">
        <w:rPr>
          <w:rFonts w:ascii="仿宋_GB2312" w:eastAsia="仿宋_GB2312" w:hint="eastAsia"/>
          <w:sz w:val="32"/>
          <w:szCs w:val="32"/>
        </w:rPr>
        <w:t>Ⅱ</w:t>
      </w:r>
      <w:r>
        <w:rPr>
          <w:rFonts w:ascii="仿宋_GB2312" w:eastAsia="仿宋_GB2312" w:hint="eastAsia"/>
          <w:sz w:val="32"/>
          <w:szCs w:val="32"/>
        </w:rPr>
        <w:t>分别为每亩33600元、每亩</w:t>
      </w:r>
      <w:r w:rsidR="00521BF9">
        <w:rPr>
          <w:rFonts w:ascii="仿宋_GB2312" w:eastAsia="仿宋_GB2312" w:hint="eastAsia"/>
          <w:sz w:val="32"/>
          <w:szCs w:val="32"/>
        </w:rPr>
        <w:t>32600</w:t>
      </w:r>
      <w:r>
        <w:rPr>
          <w:rFonts w:ascii="仿宋_GB2312" w:eastAsia="仿宋_GB2312" w:hint="eastAsia"/>
          <w:sz w:val="32"/>
          <w:szCs w:val="32"/>
        </w:rPr>
        <w:t>元；安置补助费标准，区片</w:t>
      </w:r>
      <w:r w:rsidRPr="001404AC">
        <w:rPr>
          <w:rFonts w:ascii="仿宋_GB2312" w:eastAsia="仿宋_GB2312" w:hint="eastAsia"/>
          <w:sz w:val="32"/>
          <w:szCs w:val="32"/>
        </w:rPr>
        <w:t>Ⅰ</w:t>
      </w:r>
      <w:r>
        <w:rPr>
          <w:rFonts w:ascii="仿宋_GB2312" w:eastAsia="仿宋_GB2312" w:hint="eastAsia"/>
          <w:sz w:val="32"/>
          <w:szCs w:val="32"/>
        </w:rPr>
        <w:t>和区片</w:t>
      </w:r>
      <w:r w:rsidRPr="001404AC">
        <w:rPr>
          <w:rFonts w:ascii="仿宋_GB2312" w:eastAsia="仿宋_GB2312" w:hint="eastAsia"/>
          <w:sz w:val="32"/>
          <w:szCs w:val="32"/>
        </w:rPr>
        <w:t>Ⅱ</w:t>
      </w:r>
      <w:r>
        <w:rPr>
          <w:rFonts w:ascii="仿宋_GB2312" w:eastAsia="仿宋_GB2312" w:hint="eastAsia"/>
          <w:sz w:val="32"/>
          <w:szCs w:val="32"/>
        </w:rPr>
        <w:t>均为每人32000元。</w:t>
      </w:r>
    </w:p>
    <w:p w:rsidR="00F56002" w:rsidRDefault="009F557F" w:rsidP="008B11D4">
      <w:pPr>
        <w:spacing w:line="580" w:lineRule="exact"/>
        <w:ind w:firstLineChars="200" w:firstLine="640"/>
        <w:rPr>
          <w:rFonts w:ascii="仿宋_GB2312" w:eastAsia="仿宋_GB2312"/>
          <w:sz w:val="32"/>
          <w:szCs w:val="32"/>
        </w:rPr>
      </w:pPr>
      <w:r>
        <w:rPr>
          <w:rFonts w:ascii="仿宋_GB2312" w:eastAsia="仿宋_GB2312" w:hint="eastAsia"/>
          <w:sz w:val="32"/>
          <w:szCs w:val="32"/>
        </w:rPr>
        <w:t>六、</w:t>
      </w:r>
      <w:r w:rsidR="008B11D4">
        <w:rPr>
          <w:rFonts w:ascii="仿宋_GB2312" w:eastAsia="仿宋_GB2312" w:hint="eastAsia"/>
          <w:sz w:val="32"/>
          <w:szCs w:val="32"/>
        </w:rPr>
        <w:t>土地征收补偿安置费按照当地征地区片综合地价执行标准和征地面积的乘积计算。</w:t>
      </w:r>
      <w:r>
        <w:rPr>
          <w:rFonts w:ascii="仿宋_GB2312" w:eastAsia="仿宋_GB2312" w:hint="eastAsia"/>
          <w:sz w:val="32"/>
          <w:szCs w:val="32"/>
        </w:rPr>
        <w:t>大中型水利、水电工程建设的征地补偿，原则上按照我省规定的征地补偿标准执行，如国务院规定的标准高于我省，执行国务院规定的标准。采煤塌陷地的征地补偿标准另行制定。</w:t>
      </w:r>
    </w:p>
    <w:p w:rsidR="009F557F" w:rsidRDefault="009F557F"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七、本标准自2020年1月1日起实施</w:t>
      </w:r>
      <w:r w:rsidR="00A34BB8">
        <w:rPr>
          <w:rFonts w:ascii="仿宋_GB2312" w:eastAsia="仿宋_GB2312" w:hint="eastAsia"/>
          <w:sz w:val="32"/>
          <w:szCs w:val="32"/>
        </w:rPr>
        <w:t>，姑苏区、工业园区和虎丘区人民政府（管委会）统一负责本行政区内征地区片综合地价标准的实施</w:t>
      </w:r>
      <w:r>
        <w:rPr>
          <w:rFonts w:ascii="仿宋_GB2312" w:eastAsia="仿宋_GB2312" w:hint="eastAsia"/>
          <w:sz w:val="32"/>
          <w:szCs w:val="32"/>
        </w:rPr>
        <w:t>。在2020年1月1日至征地区片综合地价公布实施期间，已经国务院、省政府以及我市受省政府委托批准的土地征收，须按新公布的征地区片综合地价标准及时补齐差价。</w:t>
      </w:r>
    </w:p>
    <w:p w:rsidR="009F557F" w:rsidRDefault="00A34BB8"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八、各区人民政府要高度重视，加强组织领导，统筹协</w:t>
      </w:r>
      <w:r>
        <w:rPr>
          <w:rFonts w:ascii="仿宋_GB2312" w:eastAsia="仿宋_GB2312" w:hint="eastAsia"/>
          <w:sz w:val="32"/>
          <w:szCs w:val="32"/>
        </w:rPr>
        <w:lastRenderedPageBreak/>
        <w:t>调，严格执行新修正的《中华人民共和国土地管理法》规定的征地范围、征地程序、征地补偿标准，依法及时足额支付土地补偿费、安置补助费以及农村村民住宅、其他地上附着物和青苗等的补偿费用，并安排被征地农民的社会保障费用，切实做好</w:t>
      </w:r>
      <w:r w:rsidR="009C2DD4">
        <w:rPr>
          <w:rFonts w:ascii="仿宋_GB2312" w:eastAsia="仿宋_GB2312" w:hint="eastAsia"/>
          <w:sz w:val="32"/>
          <w:szCs w:val="32"/>
        </w:rPr>
        <w:t>征地补偿安置工作。新修正的《中华人民共和国土地管理法</w:t>
      </w:r>
      <w:bookmarkStart w:id="0" w:name="_GoBack"/>
      <w:bookmarkEnd w:id="0"/>
      <w:r w:rsidR="00150BA0">
        <w:rPr>
          <w:rFonts w:ascii="仿宋_GB2312" w:eastAsia="仿宋_GB2312" w:hint="eastAsia"/>
          <w:sz w:val="32"/>
          <w:szCs w:val="32"/>
        </w:rPr>
        <w:t>》未</w:t>
      </w:r>
      <w:r w:rsidR="008B11D4">
        <w:rPr>
          <w:rFonts w:ascii="仿宋_GB2312" w:eastAsia="仿宋_GB2312" w:hint="eastAsia"/>
          <w:sz w:val="32"/>
          <w:szCs w:val="32"/>
        </w:rPr>
        <w:t>作</w:t>
      </w:r>
      <w:r w:rsidR="00150BA0">
        <w:rPr>
          <w:rFonts w:ascii="仿宋_GB2312" w:eastAsia="仿宋_GB2312" w:hint="eastAsia"/>
          <w:sz w:val="32"/>
          <w:szCs w:val="32"/>
        </w:rPr>
        <w:t>规定的，按《江苏省征地补偿和被征地农民社会保障办法》（省政府第93号）、《市政府关于印发苏州市市区征地补偿和被征地农民社会保障办法的通知》（苏府规字</w:t>
      </w:r>
      <w:r w:rsidR="00150BA0" w:rsidRPr="00150BA0">
        <w:rPr>
          <w:rFonts w:ascii="仿宋_GB2312" w:eastAsia="仿宋_GB2312" w:hint="eastAsia"/>
          <w:sz w:val="32"/>
          <w:szCs w:val="32"/>
        </w:rPr>
        <w:t>〔2014〕</w:t>
      </w:r>
      <w:r w:rsidR="00150BA0">
        <w:rPr>
          <w:rFonts w:ascii="仿宋_GB2312" w:eastAsia="仿宋_GB2312" w:hint="eastAsia"/>
          <w:sz w:val="32"/>
          <w:szCs w:val="32"/>
        </w:rPr>
        <w:t>5号）和</w:t>
      </w:r>
      <w:r w:rsidR="00150BA0" w:rsidRPr="00150BA0">
        <w:rPr>
          <w:rFonts w:ascii="仿宋_GB2312" w:eastAsia="仿宋_GB2312" w:hint="eastAsia"/>
          <w:sz w:val="32"/>
          <w:szCs w:val="32"/>
        </w:rPr>
        <w:t>《市政府办公室关于印发苏州市市区征地补偿和被征地农民社会保障实施细则的通知》（苏府办〔2014〕205号）</w:t>
      </w:r>
      <w:r w:rsidR="00150BA0">
        <w:rPr>
          <w:rFonts w:ascii="仿宋_GB2312" w:eastAsia="仿宋_GB2312" w:hint="eastAsia"/>
          <w:sz w:val="32"/>
          <w:szCs w:val="32"/>
        </w:rPr>
        <w:t>执行。</w:t>
      </w:r>
    </w:p>
    <w:p w:rsidR="00150BA0" w:rsidRDefault="00150BA0" w:rsidP="00EB63CA">
      <w:pPr>
        <w:spacing w:line="580" w:lineRule="exact"/>
        <w:ind w:firstLineChars="200" w:firstLine="640"/>
        <w:rPr>
          <w:rFonts w:ascii="仿宋_GB2312" w:eastAsia="仿宋_GB2312"/>
          <w:sz w:val="32"/>
          <w:szCs w:val="32"/>
        </w:rPr>
      </w:pPr>
      <w:r>
        <w:rPr>
          <w:rFonts w:ascii="仿宋_GB2312" w:eastAsia="仿宋_GB2312" w:hint="eastAsia"/>
          <w:sz w:val="32"/>
          <w:szCs w:val="32"/>
        </w:rPr>
        <w:t>九、各地要认真做好新老征地补偿标准的衔接，妥善解决实施过程中的有关问题，确保新的征地补偿标准顺利实施。各地相关部门要通力协作，加强对征地补偿安置工作的管理，防止发生侵害被征地农民合法权益情况。</w:t>
      </w:r>
    </w:p>
    <w:p w:rsidR="00150BA0" w:rsidRDefault="00150BA0" w:rsidP="00FC77F3">
      <w:pPr>
        <w:ind w:firstLineChars="200" w:firstLine="640"/>
        <w:rPr>
          <w:rFonts w:ascii="仿宋_GB2312" w:eastAsia="仿宋_GB2312"/>
          <w:sz w:val="32"/>
          <w:szCs w:val="32"/>
        </w:rPr>
      </w:pPr>
    </w:p>
    <w:p w:rsidR="00150BA0" w:rsidRDefault="00150BA0" w:rsidP="00150BA0">
      <w:pPr>
        <w:ind w:firstLineChars="200" w:firstLine="640"/>
        <w:rPr>
          <w:rFonts w:ascii="仿宋_GB2312" w:eastAsia="仿宋_GB2312"/>
          <w:sz w:val="32"/>
          <w:szCs w:val="32"/>
        </w:rPr>
      </w:pPr>
      <w:r>
        <w:rPr>
          <w:rFonts w:ascii="仿宋_GB2312" w:eastAsia="仿宋_GB2312" w:hint="eastAsia"/>
          <w:sz w:val="32"/>
          <w:szCs w:val="32"/>
        </w:rPr>
        <w:t>附件：1.苏州市市区征地区片综合地价标准</w:t>
      </w:r>
    </w:p>
    <w:p w:rsidR="00150BA0" w:rsidRDefault="00150BA0" w:rsidP="00FF01E7">
      <w:pPr>
        <w:ind w:leftChars="304" w:left="1918" w:hangingChars="400" w:hanging="1280"/>
        <w:rPr>
          <w:rFonts w:ascii="仿宋_GB2312" w:eastAsia="仿宋_GB2312"/>
          <w:sz w:val="32"/>
          <w:szCs w:val="32"/>
        </w:rPr>
      </w:pPr>
      <w:r>
        <w:rPr>
          <w:rFonts w:ascii="仿宋_GB2312" w:eastAsia="仿宋_GB2312" w:hint="eastAsia"/>
          <w:sz w:val="32"/>
          <w:szCs w:val="32"/>
        </w:rPr>
        <w:t xml:space="preserve">      2.苏州市</w:t>
      </w:r>
      <w:r w:rsidR="006551BA">
        <w:rPr>
          <w:rFonts w:ascii="仿宋_GB2312" w:eastAsia="仿宋_GB2312" w:hint="eastAsia"/>
          <w:sz w:val="32"/>
          <w:szCs w:val="32"/>
        </w:rPr>
        <w:t>市区征地区片综合地价图，</w:t>
      </w:r>
      <w:r w:rsidR="00FF01E7">
        <w:rPr>
          <w:rFonts w:ascii="仿宋_GB2312" w:eastAsia="仿宋_GB2312" w:hint="eastAsia"/>
          <w:sz w:val="32"/>
          <w:szCs w:val="32"/>
        </w:rPr>
        <w:t>姑苏区、工业园区、虎丘区</w:t>
      </w:r>
      <w:r>
        <w:rPr>
          <w:rFonts w:ascii="仿宋_GB2312" w:eastAsia="仿宋_GB2312" w:hint="eastAsia"/>
          <w:sz w:val="32"/>
          <w:szCs w:val="32"/>
        </w:rPr>
        <w:t>征地区片综合地价图</w:t>
      </w:r>
    </w:p>
    <w:p w:rsidR="00150BA0" w:rsidRDefault="00150BA0" w:rsidP="00150BA0">
      <w:pPr>
        <w:ind w:firstLineChars="200" w:firstLine="640"/>
        <w:rPr>
          <w:rFonts w:ascii="仿宋_GB2312" w:eastAsia="仿宋_GB2312"/>
          <w:sz w:val="32"/>
          <w:szCs w:val="32"/>
        </w:rPr>
      </w:pPr>
    </w:p>
    <w:p w:rsidR="00150BA0" w:rsidRDefault="00EB63CA" w:rsidP="00EB63CA">
      <w:pPr>
        <w:ind w:right="480" w:firstLineChars="200" w:firstLine="640"/>
        <w:jc w:val="right"/>
        <w:rPr>
          <w:rFonts w:ascii="仿宋_GB2312" w:eastAsia="仿宋_GB2312"/>
          <w:sz w:val="32"/>
          <w:szCs w:val="32"/>
        </w:rPr>
      </w:pPr>
      <w:r>
        <w:rPr>
          <w:rFonts w:ascii="仿宋_GB2312" w:eastAsia="仿宋_GB2312" w:hint="eastAsia"/>
          <w:sz w:val="32"/>
          <w:szCs w:val="32"/>
        </w:rPr>
        <w:t>苏州市人民政府</w:t>
      </w:r>
    </w:p>
    <w:p w:rsidR="00EB63CA" w:rsidRDefault="00EB63CA" w:rsidP="00153A94">
      <w:pPr>
        <w:wordWrap w:val="0"/>
        <w:ind w:right="320" w:firstLineChars="200" w:firstLine="640"/>
        <w:jc w:val="right"/>
        <w:rPr>
          <w:rFonts w:ascii="仿宋_GB2312" w:eastAsia="仿宋_GB2312"/>
          <w:sz w:val="32"/>
          <w:szCs w:val="32"/>
        </w:rPr>
      </w:pPr>
      <w:r>
        <w:rPr>
          <w:rFonts w:ascii="仿宋_GB2312" w:eastAsia="仿宋_GB2312" w:hint="eastAsia"/>
          <w:sz w:val="32"/>
          <w:szCs w:val="32"/>
        </w:rPr>
        <w:t>2020年</w:t>
      </w:r>
      <w:r w:rsidR="00153A94">
        <w:rPr>
          <w:rFonts w:ascii="仿宋_GB2312" w:eastAsia="仿宋_GB2312" w:hint="eastAsia"/>
          <w:sz w:val="32"/>
          <w:szCs w:val="32"/>
        </w:rPr>
        <w:t xml:space="preserve"> </w:t>
      </w:r>
      <w:r>
        <w:rPr>
          <w:rFonts w:ascii="仿宋_GB2312" w:eastAsia="仿宋_GB2312" w:hint="eastAsia"/>
          <w:sz w:val="32"/>
          <w:szCs w:val="32"/>
        </w:rPr>
        <w:t>月</w:t>
      </w:r>
      <w:r w:rsidR="00153A94">
        <w:rPr>
          <w:rFonts w:ascii="仿宋_GB2312" w:eastAsia="仿宋_GB2312" w:hint="eastAsia"/>
          <w:sz w:val="32"/>
          <w:szCs w:val="32"/>
        </w:rPr>
        <w:t xml:space="preserve"> </w:t>
      </w:r>
      <w:r>
        <w:rPr>
          <w:rFonts w:ascii="仿宋_GB2312" w:eastAsia="仿宋_GB2312" w:hint="eastAsia"/>
          <w:sz w:val="32"/>
          <w:szCs w:val="32"/>
        </w:rPr>
        <w:t>日</w:t>
      </w:r>
    </w:p>
    <w:p w:rsidR="00150BA0" w:rsidRDefault="00150BA0" w:rsidP="00FF01E7">
      <w:pPr>
        <w:widowControl/>
        <w:jc w:val="left"/>
        <w:rPr>
          <w:rFonts w:ascii="仿宋_GB2312" w:eastAsia="仿宋_GB2312"/>
          <w:sz w:val="32"/>
          <w:szCs w:val="32"/>
        </w:rPr>
        <w:sectPr w:rsidR="00150BA0" w:rsidSect="00AD63E9">
          <w:footerReference w:type="even" r:id="rId6"/>
          <w:footerReference w:type="default" r:id="rId7"/>
          <w:pgSz w:w="11906" w:h="16838"/>
          <w:pgMar w:top="1440" w:right="1800" w:bottom="1440" w:left="1800" w:header="851" w:footer="992" w:gutter="0"/>
          <w:cols w:space="425"/>
          <w:docGrid w:type="lines" w:linePitch="312"/>
        </w:sectPr>
      </w:pPr>
    </w:p>
    <w:p w:rsidR="00150BA0" w:rsidRPr="0039562F" w:rsidRDefault="00150BA0" w:rsidP="0039562F">
      <w:pPr>
        <w:spacing w:line="360" w:lineRule="exact"/>
        <w:rPr>
          <w:rFonts w:ascii="黑体" w:eastAsia="黑体" w:hAnsi="黑体"/>
          <w:sz w:val="32"/>
          <w:szCs w:val="32"/>
        </w:rPr>
      </w:pPr>
      <w:r w:rsidRPr="0039562F">
        <w:rPr>
          <w:rFonts w:ascii="黑体" w:eastAsia="黑体" w:hAnsi="黑体" w:hint="eastAsia"/>
          <w:sz w:val="32"/>
          <w:szCs w:val="32"/>
        </w:rPr>
        <w:lastRenderedPageBreak/>
        <w:t xml:space="preserve">附件1 </w:t>
      </w:r>
    </w:p>
    <w:p w:rsidR="00150BA0" w:rsidRDefault="00150BA0" w:rsidP="00B71040">
      <w:pPr>
        <w:spacing w:line="360" w:lineRule="exact"/>
        <w:ind w:firstLineChars="200" w:firstLine="640"/>
        <w:jc w:val="center"/>
        <w:rPr>
          <w:rFonts w:ascii="仿宋_GB2312" w:eastAsia="仿宋_GB2312"/>
          <w:sz w:val="32"/>
          <w:szCs w:val="32"/>
        </w:rPr>
      </w:pPr>
      <w:r>
        <w:rPr>
          <w:rFonts w:ascii="仿宋_GB2312" w:eastAsia="仿宋_GB2312" w:hint="eastAsia"/>
          <w:sz w:val="32"/>
          <w:szCs w:val="32"/>
        </w:rPr>
        <w:t>苏州市市区征地区片综合地价标准</w:t>
      </w:r>
    </w:p>
    <w:tbl>
      <w:tblPr>
        <w:tblW w:w="4997" w:type="pct"/>
        <w:tblCellMar>
          <w:left w:w="0" w:type="dxa"/>
          <w:right w:w="0" w:type="dxa"/>
        </w:tblCellMar>
        <w:tblLook w:val="04A0" w:firstRow="1" w:lastRow="0" w:firstColumn="1" w:lastColumn="0" w:noHBand="0" w:noVBand="1"/>
      </w:tblPr>
      <w:tblGrid>
        <w:gridCol w:w="1206"/>
        <w:gridCol w:w="826"/>
        <w:gridCol w:w="1804"/>
        <w:gridCol w:w="1687"/>
        <w:gridCol w:w="1782"/>
        <w:gridCol w:w="1802"/>
        <w:gridCol w:w="2077"/>
        <w:gridCol w:w="2796"/>
      </w:tblGrid>
      <w:tr w:rsidR="00592262" w:rsidTr="00985E53">
        <w:trPr>
          <w:trHeight w:val="615"/>
        </w:trPr>
        <w:tc>
          <w:tcPr>
            <w:tcW w:w="43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县（市、区）</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区片</w:t>
            </w:r>
          </w:p>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编号</w:t>
            </w:r>
          </w:p>
        </w:tc>
        <w:tc>
          <w:tcPr>
            <w:tcW w:w="1885"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征收集体农用地区片价</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征收集体建设用地区片综合地价（元/ 亩）</w:t>
            </w:r>
          </w:p>
        </w:tc>
        <w:tc>
          <w:tcPr>
            <w:tcW w:w="7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征收集体未利用地区片综合地价</w:t>
            </w:r>
          </w:p>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（元/亩）</w:t>
            </w:r>
          </w:p>
        </w:tc>
        <w:tc>
          <w:tcPr>
            <w:tcW w:w="999" w:type="pct"/>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区片范围描述</w:t>
            </w:r>
          </w:p>
        </w:tc>
      </w:tr>
      <w:tr w:rsidR="00592262" w:rsidTr="00985E53">
        <w:trPr>
          <w:trHeight w:val="805"/>
        </w:trPr>
        <w:tc>
          <w:tcPr>
            <w:tcW w:w="43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区片综合地价（元/亩）</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土地补偿费</w:t>
            </w:r>
          </w:p>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（元/亩）</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安置补助费</w:t>
            </w:r>
          </w:p>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（元/亩）</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vMerge/>
            <w:tcBorders>
              <w:left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p>
        </w:tc>
      </w:tr>
      <w:tr w:rsidR="00592262" w:rsidTr="00985E53">
        <w:trPr>
          <w:trHeight w:val="502"/>
        </w:trPr>
        <w:tc>
          <w:tcPr>
            <w:tcW w:w="4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姑苏区</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I</w:t>
            </w: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65600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33600</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32000</w:t>
            </w:r>
          </w:p>
        </w:tc>
        <w:tc>
          <w:tcPr>
            <w:tcW w:w="6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65600</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45920</w:t>
            </w:r>
          </w:p>
        </w:tc>
        <w:tc>
          <w:tcPr>
            <w:tcW w:w="27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widowControl/>
              <w:jc w:val="center"/>
              <w:textAlignment w:val="center"/>
              <w:rPr>
                <w:rFonts w:ascii="宋体" w:eastAsia="宋体" w:hAnsi="宋体" w:cs="宋体"/>
                <w:color w:val="000000"/>
                <w:sz w:val="32"/>
                <w:szCs w:val="32"/>
              </w:rPr>
            </w:pPr>
            <w:r>
              <w:rPr>
                <w:rFonts w:ascii="宋体" w:eastAsia="宋体" w:hAnsi="宋体" w:cs="宋体" w:hint="eastAsia"/>
                <w:color w:val="000000"/>
                <w:kern w:val="0"/>
                <w:sz w:val="24"/>
                <w:szCs w:val="24"/>
              </w:rPr>
              <w:t>全部街道及乡镇</w:t>
            </w:r>
          </w:p>
        </w:tc>
      </w:tr>
      <w:tr w:rsidR="00592262" w:rsidTr="00985E53">
        <w:trPr>
          <w:trHeight w:val="502"/>
        </w:trPr>
        <w:tc>
          <w:tcPr>
            <w:tcW w:w="4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工业园区</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I</w:t>
            </w: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65600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33600</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32000</w:t>
            </w:r>
          </w:p>
        </w:tc>
        <w:tc>
          <w:tcPr>
            <w:tcW w:w="6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65600</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45920</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jc w:val="center"/>
              <w:textAlignment w:val="center"/>
              <w:rPr>
                <w:rFonts w:ascii="宋体" w:eastAsia="宋体" w:hAnsi="宋体" w:cs="宋体"/>
                <w:color w:val="000000"/>
                <w:sz w:val="32"/>
                <w:szCs w:val="32"/>
              </w:rPr>
            </w:pPr>
            <w:r>
              <w:rPr>
                <w:rFonts w:ascii="宋体" w:eastAsia="宋体" w:hAnsi="宋体" w:cs="宋体" w:hint="eastAsia"/>
                <w:color w:val="000000"/>
                <w:kern w:val="0"/>
                <w:sz w:val="24"/>
                <w:szCs w:val="24"/>
              </w:rPr>
              <w:t>全部街道及乡镇</w:t>
            </w:r>
          </w:p>
        </w:tc>
      </w:tr>
      <w:tr w:rsidR="00592262" w:rsidTr="00985E53">
        <w:trPr>
          <w:trHeight w:val="502"/>
        </w:trPr>
        <w:tc>
          <w:tcPr>
            <w:tcW w:w="431"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虎丘区</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I</w:t>
            </w:r>
          </w:p>
        </w:tc>
        <w:tc>
          <w:tcPr>
            <w:tcW w:w="64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65600</w:t>
            </w:r>
          </w:p>
        </w:tc>
        <w:tc>
          <w:tcPr>
            <w:tcW w:w="60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33600</w:t>
            </w:r>
          </w:p>
        </w:tc>
        <w:tc>
          <w:tcPr>
            <w:tcW w:w="63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32000</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65600</w:t>
            </w:r>
          </w:p>
        </w:tc>
        <w:tc>
          <w:tcPr>
            <w:tcW w:w="7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45920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浒墅关镇</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浒墅关经济开发区</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枫桥街道</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狮山街道</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横塘街道</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II</w:t>
            </w:r>
          </w:p>
        </w:tc>
        <w:tc>
          <w:tcPr>
            <w:tcW w:w="64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64600</w:t>
            </w:r>
          </w:p>
        </w:tc>
        <w:tc>
          <w:tcPr>
            <w:tcW w:w="60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32600</w:t>
            </w:r>
          </w:p>
        </w:tc>
        <w:tc>
          <w:tcPr>
            <w:tcW w:w="63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32000</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64600</w:t>
            </w:r>
          </w:p>
        </w:tc>
        <w:tc>
          <w:tcPr>
            <w:tcW w:w="7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45220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通安镇</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镇湖街道</w:t>
            </w:r>
          </w:p>
        </w:tc>
      </w:tr>
      <w:tr w:rsidR="00592262" w:rsidTr="00985E53">
        <w:trPr>
          <w:trHeight w:val="502"/>
        </w:trPr>
        <w:tc>
          <w:tcPr>
            <w:tcW w:w="431"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74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spacing w:line="240" w:lineRule="exact"/>
              <w:jc w:val="center"/>
              <w:rPr>
                <w:rFonts w:ascii="宋体" w:eastAsia="宋体" w:hAnsi="宋体" w:cs="宋体"/>
                <w:color w:val="000000"/>
                <w:sz w:val="24"/>
                <w:szCs w:val="24"/>
              </w:rPr>
            </w:pP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2262" w:rsidRDefault="00592262" w:rsidP="00985E53">
            <w:pPr>
              <w:widowControl/>
              <w:spacing w:line="240" w:lineRule="exact"/>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东渚镇</w:t>
            </w:r>
          </w:p>
        </w:tc>
      </w:tr>
    </w:tbl>
    <w:p w:rsidR="00150BA0" w:rsidRDefault="00150BA0" w:rsidP="00150BA0">
      <w:pPr>
        <w:ind w:firstLineChars="200" w:firstLine="640"/>
        <w:jc w:val="center"/>
        <w:rPr>
          <w:rFonts w:ascii="仿宋_GB2312" w:eastAsia="仿宋_GB2312"/>
          <w:sz w:val="32"/>
          <w:szCs w:val="32"/>
        </w:rPr>
      </w:pPr>
    </w:p>
    <w:p w:rsidR="0039562F" w:rsidRPr="0067334C" w:rsidRDefault="00C26E03" w:rsidP="0067334C">
      <w:pPr>
        <w:spacing w:line="360" w:lineRule="exact"/>
        <w:rPr>
          <w:rFonts w:ascii="黑体" w:eastAsia="黑体" w:hAnsi="黑体"/>
          <w:sz w:val="32"/>
          <w:szCs w:val="32"/>
        </w:rPr>
      </w:pPr>
      <w:r w:rsidRPr="0039562F">
        <w:rPr>
          <w:rFonts w:ascii="黑体" w:eastAsia="黑体" w:hAnsi="黑体" w:hint="eastAsia"/>
          <w:sz w:val="32"/>
          <w:szCs w:val="32"/>
        </w:rPr>
        <w:lastRenderedPageBreak/>
        <w:t xml:space="preserve">附件2 </w:t>
      </w:r>
    </w:p>
    <w:p w:rsidR="00F1243E" w:rsidRDefault="00F1243E" w:rsidP="00F1243E">
      <w:pPr>
        <w:ind w:firstLineChars="200" w:firstLine="640"/>
        <w:jc w:val="center"/>
        <w:rPr>
          <w:rFonts w:ascii="仿宋_GB2312" w:eastAsia="仿宋_GB2312"/>
          <w:sz w:val="32"/>
          <w:szCs w:val="32"/>
        </w:rPr>
        <w:sectPr w:rsidR="00F1243E" w:rsidSect="00150BA0">
          <w:pgSz w:w="16838" w:h="11906" w:orient="landscape"/>
          <w:pgMar w:top="1800" w:right="1440" w:bottom="1800" w:left="1440" w:header="851" w:footer="992" w:gutter="0"/>
          <w:cols w:space="425"/>
          <w:docGrid w:type="lines" w:linePitch="312"/>
        </w:sectPr>
      </w:pPr>
      <w:r>
        <w:rPr>
          <w:rFonts w:ascii="仿宋_GB2312" w:eastAsia="仿宋_GB2312"/>
          <w:noProof/>
          <w:sz w:val="32"/>
          <w:szCs w:val="32"/>
        </w:rPr>
        <w:drawing>
          <wp:inline distT="0" distB="0" distL="0" distR="0">
            <wp:extent cx="6977173" cy="4936015"/>
            <wp:effectExtent l="19050" t="0" r="0" b="0"/>
            <wp:docPr id="3" name="图片 1" descr="C:\Users\Administrator\Documents\Tencent Files\810640589\FileRecv\苏州市区征地区片综合地价图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810640589\FileRecv\苏州市区征地区片综合地价图77777.jpg"/>
                    <pic:cNvPicPr>
                      <a:picLocks noChangeAspect="1" noChangeArrowheads="1"/>
                    </pic:cNvPicPr>
                  </pic:nvPicPr>
                  <pic:blipFill>
                    <a:blip r:embed="rId8" cstate="print"/>
                    <a:srcRect/>
                    <a:stretch>
                      <a:fillRect/>
                    </a:stretch>
                  </pic:blipFill>
                  <pic:spPr bwMode="auto">
                    <a:xfrm>
                      <a:off x="0" y="0"/>
                      <a:ext cx="6994860" cy="4948528"/>
                    </a:xfrm>
                    <a:prstGeom prst="rect">
                      <a:avLst/>
                    </a:prstGeom>
                    <a:noFill/>
                    <a:ln w="9525">
                      <a:noFill/>
                      <a:miter lim="800000"/>
                      <a:headEnd/>
                      <a:tailEnd/>
                    </a:ln>
                  </pic:spPr>
                </pic:pic>
              </a:graphicData>
            </a:graphic>
          </wp:inline>
        </w:drawing>
      </w:r>
    </w:p>
    <w:p w:rsidR="00592262" w:rsidRDefault="00592262" w:rsidP="00592262">
      <w:r>
        <w:rPr>
          <w:rFonts w:hint="eastAsia"/>
          <w:noProof/>
        </w:rPr>
        <w:lastRenderedPageBreak/>
        <w:drawing>
          <wp:inline distT="0" distB="0" distL="114300" distR="114300">
            <wp:extent cx="5218430" cy="7390765"/>
            <wp:effectExtent l="0" t="0" r="1270" b="635"/>
            <wp:docPr id="1" name="图片 2" descr="C:\Users\LYW\Desktop\320508征地区片综合地价图999.jpg320508征地区片综合地价图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LYW\Desktop\320508征地区片综合地价图999.jpg320508征地区片综合地价图999"/>
                    <pic:cNvPicPr>
                      <a:picLocks noChangeAspect="1"/>
                    </pic:cNvPicPr>
                  </pic:nvPicPr>
                  <pic:blipFill>
                    <a:blip r:embed="rId9"/>
                    <a:srcRect/>
                    <a:stretch>
                      <a:fillRect/>
                    </a:stretch>
                  </pic:blipFill>
                  <pic:spPr>
                    <a:xfrm>
                      <a:off x="0" y="0"/>
                      <a:ext cx="5218430" cy="7390765"/>
                    </a:xfrm>
                    <a:prstGeom prst="rect">
                      <a:avLst/>
                    </a:prstGeom>
                  </pic:spPr>
                </pic:pic>
              </a:graphicData>
            </a:graphic>
          </wp:inline>
        </w:drawing>
      </w:r>
    </w:p>
    <w:p w:rsidR="00592262" w:rsidRDefault="00592262" w:rsidP="00592262">
      <w:pPr>
        <w:jc w:val="right"/>
        <w:rPr>
          <w:rFonts w:eastAsia="宋体"/>
        </w:rPr>
        <w:sectPr w:rsidR="00592262">
          <w:pgSz w:w="11906" w:h="16838"/>
          <w:pgMar w:top="1440" w:right="1800" w:bottom="1440" w:left="1800" w:header="851" w:footer="992" w:gutter="0"/>
          <w:cols w:space="425"/>
          <w:docGrid w:type="lines" w:linePitch="312"/>
        </w:sectPr>
      </w:pPr>
      <w:r>
        <w:rPr>
          <w:rFonts w:eastAsia="宋体" w:hint="eastAsia"/>
          <w:noProof/>
        </w:rPr>
        <w:lastRenderedPageBreak/>
        <w:drawing>
          <wp:inline distT="0" distB="0" distL="114300" distR="114300">
            <wp:extent cx="5102225" cy="7226935"/>
            <wp:effectExtent l="0" t="0" r="3175" b="12065"/>
            <wp:docPr id="2" name="图片 3" descr="C:\Users\LYW\Desktop\320513征地区片综合地价图7373.jpg320513征地区片综合地价图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LYW\Desktop\320513征地区片综合地价图7373.jpg320513征地区片综合地价图7373"/>
                    <pic:cNvPicPr>
                      <a:picLocks noChangeAspect="1"/>
                    </pic:cNvPicPr>
                  </pic:nvPicPr>
                  <pic:blipFill>
                    <a:blip r:embed="rId10" cstate="print"/>
                    <a:srcRect/>
                    <a:stretch>
                      <a:fillRect/>
                    </a:stretch>
                  </pic:blipFill>
                  <pic:spPr>
                    <a:xfrm>
                      <a:off x="0" y="0"/>
                      <a:ext cx="5102225" cy="7226935"/>
                    </a:xfrm>
                    <a:prstGeom prst="rect">
                      <a:avLst/>
                    </a:prstGeom>
                  </pic:spPr>
                </pic:pic>
              </a:graphicData>
            </a:graphic>
          </wp:inline>
        </w:drawing>
      </w:r>
    </w:p>
    <w:p w:rsidR="00592262" w:rsidRDefault="00C26E03" w:rsidP="00592262">
      <w:pPr>
        <w:jc w:val="center"/>
        <w:rPr>
          <w:rFonts w:eastAsia="宋体"/>
        </w:rPr>
        <w:sectPr w:rsidR="00592262">
          <w:pgSz w:w="16838" w:h="11906" w:orient="landscape"/>
          <w:pgMar w:top="1800" w:right="1440" w:bottom="1800" w:left="1440" w:header="851" w:footer="992" w:gutter="0"/>
          <w:cols w:space="425"/>
          <w:docGrid w:type="lines" w:linePitch="312"/>
        </w:sectPr>
      </w:pPr>
      <w:r w:rsidRPr="00C26E03">
        <w:rPr>
          <w:rFonts w:eastAsia="宋体" w:hint="eastAsia"/>
          <w:noProof/>
        </w:rPr>
        <w:lastRenderedPageBreak/>
        <w:drawing>
          <wp:inline distT="0" distB="0" distL="114300" distR="114300">
            <wp:extent cx="7168559" cy="5061753"/>
            <wp:effectExtent l="19050" t="0" r="0" b="0"/>
            <wp:docPr id="13" name="图片 2" descr="C:\Users\LYW\Desktop\320505征地区片综合地价图.jpg320505征地区片综合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YW\Desktop\320505征地区片综合地价图.jpg320505征地区片综合地价图"/>
                    <pic:cNvPicPr>
                      <a:picLocks noChangeAspect="1"/>
                    </pic:cNvPicPr>
                  </pic:nvPicPr>
                  <pic:blipFill>
                    <a:blip r:embed="rId11"/>
                    <a:srcRect/>
                    <a:stretch>
                      <a:fillRect/>
                    </a:stretch>
                  </pic:blipFill>
                  <pic:spPr>
                    <a:xfrm>
                      <a:off x="0" y="0"/>
                      <a:ext cx="7175009" cy="5066307"/>
                    </a:xfrm>
                    <a:prstGeom prst="rect">
                      <a:avLst/>
                    </a:prstGeom>
                  </pic:spPr>
                </pic:pic>
              </a:graphicData>
            </a:graphic>
          </wp:inline>
        </w:drawing>
      </w:r>
    </w:p>
    <w:p w:rsidR="0039562F" w:rsidRPr="0039562F" w:rsidRDefault="0039562F" w:rsidP="00592262">
      <w:pPr>
        <w:spacing w:line="360" w:lineRule="exact"/>
        <w:rPr>
          <w:rFonts w:ascii="黑体" w:eastAsia="黑体" w:hAnsi="黑体"/>
          <w:sz w:val="32"/>
          <w:szCs w:val="32"/>
        </w:rPr>
      </w:pPr>
    </w:p>
    <w:sectPr w:rsidR="0039562F" w:rsidRPr="0039562F" w:rsidSect="003956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4FC" w:rsidRDefault="005204FC" w:rsidP="008B11D4">
      <w:r>
        <w:separator/>
      </w:r>
    </w:p>
  </w:endnote>
  <w:endnote w:type="continuationSeparator" w:id="0">
    <w:p w:rsidR="005204FC" w:rsidRDefault="005204FC" w:rsidP="008B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3E9" w:rsidRPr="00AD63E9" w:rsidRDefault="00AD63E9" w:rsidP="00AD63E9">
    <w:pPr>
      <w:pStyle w:val="a5"/>
      <w:rPr>
        <w:sz w:val="28"/>
        <w:szCs w:val="28"/>
      </w:rPr>
    </w:pPr>
    <w:r>
      <w:rPr>
        <w:rStyle w:val="a6"/>
        <w:rFonts w:hint="eastAsia"/>
        <w:sz w:val="28"/>
        <w:szCs w:val="28"/>
      </w:rPr>
      <w:t>－</w:t>
    </w:r>
    <w:r w:rsidR="003D4D1F" w:rsidRPr="00C47D1C">
      <w:rPr>
        <w:rFonts w:ascii="宋体" w:hAnsi="宋体" w:hint="eastAsia"/>
        <w:sz w:val="28"/>
        <w:szCs w:val="28"/>
      </w:rPr>
      <w:fldChar w:fldCharType="begin"/>
    </w:r>
    <w:r w:rsidRPr="00C47D1C">
      <w:rPr>
        <w:rStyle w:val="a6"/>
        <w:rFonts w:ascii="宋体" w:hAnsi="宋体" w:hint="eastAsia"/>
        <w:sz w:val="28"/>
        <w:szCs w:val="28"/>
      </w:rPr>
      <w:instrText xml:space="preserve">PAGE  </w:instrText>
    </w:r>
    <w:r w:rsidR="003D4D1F" w:rsidRPr="00C47D1C">
      <w:rPr>
        <w:rFonts w:ascii="宋体" w:hAnsi="宋体" w:hint="eastAsia"/>
        <w:sz w:val="28"/>
        <w:szCs w:val="28"/>
      </w:rPr>
      <w:fldChar w:fldCharType="separate"/>
    </w:r>
    <w:r w:rsidR="009C2DD4">
      <w:rPr>
        <w:rStyle w:val="a6"/>
        <w:rFonts w:ascii="宋体" w:hAnsi="宋体"/>
        <w:noProof/>
        <w:sz w:val="28"/>
        <w:szCs w:val="28"/>
      </w:rPr>
      <w:t>2</w:t>
    </w:r>
    <w:r w:rsidR="003D4D1F" w:rsidRPr="00C47D1C">
      <w:rPr>
        <w:rFonts w:ascii="宋体" w:hAnsi="宋体" w:hint="eastAsia"/>
        <w:sz w:val="28"/>
        <w:szCs w:val="28"/>
      </w:rPr>
      <w:fldChar w:fldCharType="end"/>
    </w:r>
    <w:r>
      <w:rPr>
        <w:rStyle w:val="a6"/>
        <w:rFonts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3E9" w:rsidRPr="00AD63E9" w:rsidRDefault="00AD63E9" w:rsidP="00AD63E9">
    <w:pPr>
      <w:pStyle w:val="a5"/>
      <w:jc w:val="right"/>
      <w:rPr>
        <w:sz w:val="28"/>
        <w:szCs w:val="28"/>
      </w:rPr>
    </w:pPr>
    <w:r>
      <w:rPr>
        <w:rStyle w:val="a6"/>
        <w:rFonts w:hint="eastAsia"/>
        <w:sz w:val="28"/>
        <w:szCs w:val="28"/>
      </w:rPr>
      <w:t>－</w:t>
    </w:r>
    <w:r w:rsidR="003D4D1F" w:rsidRPr="00C47D1C">
      <w:rPr>
        <w:rFonts w:ascii="宋体" w:hAnsi="宋体" w:hint="eastAsia"/>
        <w:sz w:val="28"/>
        <w:szCs w:val="28"/>
      </w:rPr>
      <w:fldChar w:fldCharType="begin"/>
    </w:r>
    <w:r w:rsidRPr="00C47D1C">
      <w:rPr>
        <w:rStyle w:val="a6"/>
        <w:rFonts w:ascii="宋体" w:hAnsi="宋体" w:hint="eastAsia"/>
        <w:sz w:val="28"/>
        <w:szCs w:val="28"/>
      </w:rPr>
      <w:instrText xml:space="preserve">PAGE  </w:instrText>
    </w:r>
    <w:r w:rsidR="003D4D1F" w:rsidRPr="00C47D1C">
      <w:rPr>
        <w:rFonts w:ascii="宋体" w:hAnsi="宋体" w:hint="eastAsia"/>
        <w:sz w:val="28"/>
        <w:szCs w:val="28"/>
      </w:rPr>
      <w:fldChar w:fldCharType="separate"/>
    </w:r>
    <w:r w:rsidR="009C2DD4">
      <w:rPr>
        <w:rStyle w:val="a6"/>
        <w:rFonts w:ascii="宋体" w:hAnsi="宋体"/>
        <w:noProof/>
        <w:sz w:val="28"/>
        <w:szCs w:val="28"/>
      </w:rPr>
      <w:t>3</w:t>
    </w:r>
    <w:r w:rsidR="003D4D1F" w:rsidRPr="00C47D1C">
      <w:rPr>
        <w:rFonts w:ascii="宋体" w:hAnsi="宋体" w:hint="eastAsia"/>
        <w:sz w:val="28"/>
        <w:szCs w:val="28"/>
      </w:rPr>
      <w:fldChar w:fldCharType="end"/>
    </w:r>
    <w:r>
      <w:rPr>
        <w:rStyle w:val="a6"/>
        <w:rFonts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4FC" w:rsidRDefault="005204FC" w:rsidP="008B11D4">
      <w:r>
        <w:separator/>
      </w:r>
    </w:p>
  </w:footnote>
  <w:footnote w:type="continuationSeparator" w:id="0">
    <w:p w:rsidR="005204FC" w:rsidRDefault="005204FC" w:rsidP="008B11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77F3"/>
    <w:rsid w:val="00132177"/>
    <w:rsid w:val="00150BA0"/>
    <w:rsid w:val="00153A94"/>
    <w:rsid w:val="0024152A"/>
    <w:rsid w:val="0039562F"/>
    <w:rsid w:val="003C057F"/>
    <w:rsid w:val="003C3D6E"/>
    <w:rsid w:val="003D4D1F"/>
    <w:rsid w:val="003E6D8A"/>
    <w:rsid w:val="004371C8"/>
    <w:rsid w:val="00513A7D"/>
    <w:rsid w:val="005204FC"/>
    <w:rsid w:val="00521BF9"/>
    <w:rsid w:val="00543E14"/>
    <w:rsid w:val="00592262"/>
    <w:rsid w:val="005B29F8"/>
    <w:rsid w:val="00603752"/>
    <w:rsid w:val="006332B8"/>
    <w:rsid w:val="006551BA"/>
    <w:rsid w:val="0067334C"/>
    <w:rsid w:val="0068536B"/>
    <w:rsid w:val="006B43C6"/>
    <w:rsid w:val="007270E9"/>
    <w:rsid w:val="00767654"/>
    <w:rsid w:val="00877CC3"/>
    <w:rsid w:val="008B11D4"/>
    <w:rsid w:val="008C7A6E"/>
    <w:rsid w:val="008F4203"/>
    <w:rsid w:val="009C2DD4"/>
    <w:rsid w:val="009F557F"/>
    <w:rsid w:val="00A34BB8"/>
    <w:rsid w:val="00A81C5F"/>
    <w:rsid w:val="00AD63E9"/>
    <w:rsid w:val="00B4150F"/>
    <w:rsid w:val="00B71040"/>
    <w:rsid w:val="00BB6030"/>
    <w:rsid w:val="00C26E03"/>
    <w:rsid w:val="00D36225"/>
    <w:rsid w:val="00D915F6"/>
    <w:rsid w:val="00EB63CA"/>
    <w:rsid w:val="00EE31D6"/>
    <w:rsid w:val="00F1243E"/>
    <w:rsid w:val="00F56002"/>
    <w:rsid w:val="00FC77F3"/>
    <w:rsid w:val="00FF0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9960FB-D66F-4A44-908D-D0BF870E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057F"/>
    <w:pPr>
      <w:widowControl w:val="0"/>
      <w:jc w:val="both"/>
    </w:pPr>
  </w:style>
  <w:style w:type="paragraph" w:styleId="2">
    <w:name w:val="heading 2"/>
    <w:basedOn w:val="a"/>
    <w:next w:val="a"/>
    <w:link w:val="2Char"/>
    <w:uiPriority w:val="1"/>
    <w:qFormat/>
    <w:rsid w:val="0039562F"/>
    <w:pPr>
      <w:ind w:left="1678"/>
      <w:outlineLvl w:val="1"/>
    </w:pPr>
    <w:rPr>
      <w:rFonts w:ascii="黑体" w:eastAsia="黑体" w:hAnsi="黑体" w:cs="黑体"/>
      <w:b/>
      <w:bCs/>
      <w:sz w:val="30"/>
      <w:szCs w:val="30"/>
    </w:rPr>
  </w:style>
  <w:style w:type="paragraph" w:styleId="3">
    <w:name w:val="heading 3"/>
    <w:basedOn w:val="a"/>
    <w:next w:val="a"/>
    <w:link w:val="3Char"/>
    <w:uiPriority w:val="9"/>
    <w:semiHidden/>
    <w:unhideWhenUsed/>
    <w:qFormat/>
    <w:rsid w:val="00543E1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562F"/>
    <w:rPr>
      <w:sz w:val="18"/>
      <w:szCs w:val="18"/>
    </w:rPr>
  </w:style>
  <w:style w:type="character" w:customStyle="1" w:styleId="Char">
    <w:name w:val="批注框文本 Char"/>
    <w:basedOn w:val="a0"/>
    <w:link w:val="a3"/>
    <w:uiPriority w:val="99"/>
    <w:semiHidden/>
    <w:rsid w:val="0039562F"/>
    <w:rPr>
      <w:sz w:val="18"/>
      <w:szCs w:val="18"/>
    </w:rPr>
  </w:style>
  <w:style w:type="character" w:customStyle="1" w:styleId="2Char">
    <w:name w:val="标题 2 Char"/>
    <w:basedOn w:val="a0"/>
    <w:link w:val="2"/>
    <w:uiPriority w:val="1"/>
    <w:rsid w:val="0039562F"/>
    <w:rPr>
      <w:rFonts w:ascii="黑体" w:eastAsia="黑体" w:hAnsi="黑体" w:cs="黑体"/>
      <w:b/>
      <w:bCs/>
      <w:sz w:val="30"/>
      <w:szCs w:val="30"/>
    </w:rPr>
  </w:style>
  <w:style w:type="paragraph" w:styleId="a4">
    <w:name w:val="header"/>
    <w:basedOn w:val="a"/>
    <w:link w:val="Char0"/>
    <w:uiPriority w:val="99"/>
    <w:semiHidden/>
    <w:unhideWhenUsed/>
    <w:rsid w:val="008B11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B11D4"/>
    <w:rPr>
      <w:sz w:val="18"/>
      <w:szCs w:val="18"/>
    </w:rPr>
  </w:style>
  <w:style w:type="paragraph" w:styleId="a5">
    <w:name w:val="footer"/>
    <w:basedOn w:val="a"/>
    <w:link w:val="Char1"/>
    <w:unhideWhenUsed/>
    <w:rsid w:val="008B11D4"/>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8B11D4"/>
    <w:rPr>
      <w:sz w:val="18"/>
      <w:szCs w:val="18"/>
    </w:rPr>
  </w:style>
  <w:style w:type="character" w:styleId="a6">
    <w:name w:val="page number"/>
    <w:basedOn w:val="a0"/>
    <w:semiHidden/>
    <w:rsid w:val="00AD63E9"/>
  </w:style>
  <w:style w:type="character" w:customStyle="1" w:styleId="3Char">
    <w:name w:val="标题 3 Char"/>
    <w:basedOn w:val="a0"/>
    <w:link w:val="3"/>
    <w:uiPriority w:val="9"/>
    <w:semiHidden/>
    <w:rsid w:val="00543E14"/>
    <w:rPr>
      <w:b/>
      <w:bCs/>
      <w:sz w:val="32"/>
      <w:szCs w:val="32"/>
    </w:rPr>
  </w:style>
  <w:style w:type="paragraph" w:styleId="a7">
    <w:name w:val="Normal (Web)"/>
    <w:basedOn w:val="a"/>
    <w:rsid w:val="00543E14"/>
    <w:pPr>
      <w:spacing w:beforeAutospacing="1" w:afterAutospacing="1"/>
      <w:jc w:val="left"/>
    </w:pPr>
    <w:rPr>
      <w:rFonts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9</Pages>
  <Words>286</Words>
  <Characters>1631</Characters>
  <Application>Microsoft Office Word</Application>
  <DocSecurity>0</DocSecurity>
  <Lines>13</Lines>
  <Paragraphs>3</Paragraphs>
  <ScaleCrop>false</ScaleCrop>
  <Company>微软中国</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Lenovo</cp:lastModifiedBy>
  <cp:revision>19</cp:revision>
  <cp:lastPrinted>2020-07-03T07:59:00Z</cp:lastPrinted>
  <dcterms:created xsi:type="dcterms:W3CDTF">2020-07-02T09:07:00Z</dcterms:created>
  <dcterms:modified xsi:type="dcterms:W3CDTF">2023-02-24T01:29:00Z</dcterms:modified>
</cp:coreProperties>
</file>