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ascii="方正小标宋_GBK" w:hAnsi="宋体" w:eastAsia="方正小标宋_GBK"/>
          <w:sz w:val="44"/>
          <w:szCs w:val="44"/>
        </w:rPr>
      </w:pPr>
      <w:r>
        <w:rPr>
          <w:rFonts w:hint="eastAsia" w:ascii="方正小标宋_GBK" w:hAnsi="宋体" w:eastAsia="方正小标宋_GBK" w:cs="Times New Roman"/>
          <w:snapToGrid w:val="0"/>
          <w:kern w:val="0"/>
          <w:sz w:val="44"/>
          <w:szCs w:val="44"/>
        </w:rPr>
        <w:t>关于调整苏州市大病保险保障水平和筹资标准的</w:t>
      </w:r>
      <w:r>
        <w:rPr>
          <w:rFonts w:hint="eastAsia" w:ascii="方正小标宋_GBK" w:hAnsi="宋体" w:eastAsia="方正小标宋_GBK"/>
          <w:sz w:val="44"/>
          <w:szCs w:val="44"/>
        </w:rPr>
        <w:t>起草说明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为进一步完善我市大病保障制度，不断提高大病保障能力和基金运行效率，我局会同市财政局，</w:t>
      </w:r>
      <w:r>
        <w:rPr>
          <w:rFonts w:hint="eastAsia" w:ascii="仿宋" w:hAnsi="仿宋" w:eastAsia="仿宋" w:cs="仿宋_GB2312"/>
          <w:sz w:val="32"/>
          <w:szCs w:val="32"/>
        </w:rPr>
        <w:t>经过多轮测算和方案调整，在</w:t>
      </w:r>
      <w:r>
        <w:rPr>
          <w:rFonts w:hint="eastAsia" w:ascii="仿宋" w:hAnsi="仿宋" w:eastAsia="仿宋"/>
          <w:sz w:val="32"/>
          <w:szCs w:val="32"/>
        </w:rPr>
        <w:t>认真研究、反复修改完善的基础上，完成了《关于调整苏州市大病保险保障水平和筹资标准的通知》（以下简称《通知》）的起草工作，现将起草情况说明如下：</w:t>
      </w:r>
    </w:p>
    <w:p>
      <w:pPr>
        <w:pStyle w:val="19"/>
        <w:numPr>
          <w:ilvl w:val="0"/>
          <w:numId w:val="0"/>
        </w:numPr>
        <w:ind w:left="568" w:leftChars="0"/>
        <w:rPr>
          <w:rFonts w:hint="eastAsia" w:ascii="方正黑体_GBK" w:hAnsi="方正黑体_GBK" w:eastAsia="方正黑体_GBK" w:cs="方正黑体_GBK"/>
          <w:b w:val="0"/>
          <w:bCs/>
          <w:snapToGrid w:val="0"/>
          <w:kern w:val="0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b w:val="0"/>
          <w:bCs/>
          <w:snapToGrid w:val="0"/>
          <w:kern w:val="0"/>
          <w:sz w:val="32"/>
          <w:szCs w:val="32"/>
          <w:lang w:eastAsia="zh-CN"/>
        </w:rPr>
        <w:t>一、调整背景及依据</w:t>
      </w:r>
    </w:p>
    <w:p>
      <w:pPr>
        <w:pStyle w:val="19"/>
        <w:numPr>
          <w:numId w:val="0"/>
        </w:numPr>
        <w:ind w:left="568" w:leftChars="0"/>
        <w:rPr>
          <w:rFonts w:hint="eastAsia"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（一）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调整背景</w:t>
      </w:r>
    </w:p>
    <w:p>
      <w:pPr>
        <w:pStyle w:val="19"/>
        <w:ind w:firstLine="600" w:firstLineChars="0"/>
        <w:rPr>
          <w:rFonts w:ascii="仿宋" w:hAnsi="仿宋" w:eastAsia="仿宋" w:cstheme="minorBidi"/>
          <w:sz w:val="32"/>
          <w:szCs w:val="32"/>
        </w:rPr>
      </w:pPr>
      <w:r>
        <w:rPr>
          <w:rFonts w:hint="eastAsia" w:ascii="仿宋" w:hAnsi="仿宋" w:eastAsia="仿宋" w:cstheme="minorBidi"/>
          <w:sz w:val="32"/>
          <w:szCs w:val="32"/>
        </w:rPr>
        <w:t>2018年我市实施新的大病保险政策，通过</w:t>
      </w:r>
      <w:r>
        <w:rPr>
          <w:rFonts w:ascii="仿宋" w:hAnsi="仿宋" w:eastAsia="仿宋" w:cstheme="minorBidi"/>
          <w:sz w:val="32"/>
          <w:szCs w:val="32"/>
        </w:rPr>
        <w:t>制度创新，</w:t>
      </w:r>
      <w:r>
        <w:rPr>
          <w:rFonts w:hint="eastAsia" w:ascii="仿宋" w:hAnsi="仿宋" w:eastAsia="仿宋" w:cstheme="minorBidi"/>
          <w:sz w:val="32"/>
          <w:szCs w:val="32"/>
        </w:rPr>
        <w:t>实现大病保险对</w:t>
      </w:r>
      <w:r>
        <w:rPr>
          <w:rFonts w:ascii="仿宋" w:hAnsi="仿宋" w:eastAsia="仿宋" w:cstheme="minorBidi"/>
          <w:sz w:val="32"/>
          <w:szCs w:val="32"/>
        </w:rPr>
        <w:t>职</w:t>
      </w:r>
      <w:r>
        <w:rPr>
          <w:rFonts w:ascii="仿宋" w:hAnsi="仿宋" w:eastAsia="仿宋"/>
          <w:sz w:val="32"/>
          <w:szCs w:val="32"/>
        </w:rPr>
        <w:t>工和居民</w:t>
      </w:r>
      <w:r>
        <w:rPr>
          <w:rFonts w:hint="eastAsia" w:ascii="仿宋" w:hAnsi="仿宋" w:eastAsia="仿宋"/>
          <w:sz w:val="32"/>
          <w:szCs w:val="32"/>
        </w:rPr>
        <w:t>参保人群全覆盖</w:t>
      </w:r>
      <w:r>
        <w:rPr>
          <w:rFonts w:ascii="仿宋" w:hAnsi="仿宋" w:eastAsia="仿宋"/>
          <w:sz w:val="32"/>
          <w:szCs w:val="32"/>
        </w:rPr>
        <w:t>，</w:t>
      </w:r>
      <w:r>
        <w:rPr>
          <w:rFonts w:ascii="仿宋" w:hAnsi="仿宋" w:eastAsia="仿宋" w:cstheme="minorBidi"/>
          <w:sz w:val="32"/>
          <w:szCs w:val="32"/>
        </w:rPr>
        <w:t>门诊住院</w:t>
      </w:r>
      <w:r>
        <w:rPr>
          <w:rFonts w:hint="eastAsia" w:ascii="仿宋" w:hAnsi="仿宋" w:eastAsia="仿宋" w:cstheme="minorBidi"/>
          <w:sz w:val="32"/>
          <w:szCs w:val="32"/>
        </w:rPr>
        <w:t>医疗费用</w:t>
      </w:r>
      <w:r>
        <w:rPr>
          <w:rFonts w:ascii="仿宋" w:hAnsi="仿宋" w:eastAsia="仿宋" w:cstheme="minorBidi"/>
          <w:sz w:val="32"/>
          <w:szCs w:val="32"/>
        </w:rPr>
        <w:t>全覆盖，</w:t>
      </w:r>
      <w:r>
        <w:rPr>
          <w:rFonts w:hint="eastAsia" w:ascii="仿宋" w:hAnsi="仿宋" w:eastAsia="仿宋" w:cstheme="minorBidi"/>
          <w:sz w:val="32"/>
          <w:szCs w:val="32"/>
        </w:rPr>
        <w:t>充分体现医保制度的，有效减轻人民群众就医负担，更为建立健全多层次医保体系奠定了坚实基础。实施三年以来，参保人员医疗费用个人现金负担率平均下降了</w:t>
      </w:r>
      <w:r>
        <w:rPr>
          <w:rFonts w:ascii="仿宋" w:hAnsi="仿宋" w:eastAsia="仿宋" w:cstheme="minorBidi"/>
          <w:sz w:val="32"/>
          <w:szCs w:val="32"/>
        </w:rPr>
        <w:t>8</w:t>
      </w:r>
      <w:r>
        <w:rPr>
          <w:rFonts w:hint="eastAsia" w:ascii="仿宋" w:hAnsi="仿宋" w:eastAsia="仿宋" w:cstheme="minorBidi"/>
          <w:sz w:val="32"/>
          <w:szCs w:val="32"/>
        </w:rPr>
        <w:t>个百分点，2019年全市大病保险惠及约13万人，支付基金约7.6亿元，保障水平全国领先。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随着人口老龄化</w:t>
      </w:r>
      <w:bookmarkStart w:id="0" w:name="_Hlk50048030"/>
      <w:r>
        <w:rPr>
          <w:rFonts w:hint="eastAsia" w:ascii="仿宋" w:hAnsi="仿宋" w:eastAsia="仿宋" w:cs="仿宋_GB2312"/>
          <w:sz w:val="32"/>
          <w:szCs w:val="32"/>
        </w:rPr>
        <w:t>、疾病谱的变化以及医疗技术</w:t>
      </w:r>
      <w:r>
        <w:rPr>
          <w:rFonts w:ascii="仿宋" w:hAnsi="仿宋" w:eastAsia="仿宋" w:cs="仿宋_GB2312"/>
          <w:sz w:val="32"/>
          <w:szCs w:val="32"/>
        </w:rPr>
        <w:t>的进步，</w:t>
      </w:r>
      <w:r>
        <w:rPr>
          <w:rFonts w:hint="eastAsia" w:ascii="仿宋" w:hAnsi="仿宋" w:eastAsia="仿宋" w:cs="仿宋_GB2312"/>
          <w:sz w:val="32"/>
          <w:szCs w:val="32"/>
        </w:rPr>
        <w:t>医疗费用呈现</w:t>
      </w:r>
      <w:r>
        <w:rPr>
          <w:rFonts w:ascii="仿宋" w:hAnsi="仿宋" w:eastAsia="仿宋" w:cs="仿宋_GB2312"/>
          <w:sz w:val="32"/>
          <w:szCs w:val="32"/>
        </w:rPr>
        <w:t>不断</w:t>
      </w:r>
      <w:r>
        <w:rPr>
          <w:rFonts w:hint="eastAsia" w:ascii="仿宋" w:hAnsi="仿宋" w:eastAsia="仿宋" w:cs="仿宋_GB2312"/>
          <w:sz w:val="32"/>
          <w:szCs w:val="32"/>
        </w:rPr>
        <w:t>增长的</w:t>
      </w:r>
      <w:r>
        <w:rPr>
          <w:rFonts w:ascii="仿宋" w:hAnsi="仿宋" w:eastAsia="仿宋" w:cs="仿宋_GB2312"/>
          <w:sz w:val="32"/>
          <w:szCs w:val="32"/>
        </w:rPr>
        <w:t>趋势</w:t>
      </w:r>
      <w:r>
        <w:rPr>
          <w:rFonts w:hint="eastAsia" w:ascii="仿宋" w:hAnsi="仿宋" w:eastAsia="仿宋"/>
          <w:sz w:val="32"/>
          <w:szCs w:val="32"/>
        </w:rPr>
        <w:t>，为保持大病保险基金稳健可持续，</w:t>
      </w:r>
      <w:r>
        <w:rPr>
          <w:rFonts w:hint="eastAsia" w:ascii="仿宋" w:hAnsi="仿宋" w:eastAsia="仿宋" w:cs="仿宋_GB2312"/>
          <w:sz w:val="32"/>
          <w:szCs w:val="32"/>
        </w:rPr>
        <w:t>提升医疗保障公共服务能力，需对现行大病保险政策做出部分调整。</w:t>
      </w:r>
      <w:r>
        <w:rPr>
          <w:rFonts w:ascii="仿宋" w:hAnsi="仿宋" w:eastAsia="仿宋" w:cs="仿宋_GB2312"/>
          <w:sz w:val="32"/>
          <w:szCs w:val="32"/>
        </w:rPr>
        <w:t xml:space="preserve"> </w:t>
      </w:r>
    </w:p>
    <w:bookmarkEnd w:id="0"/>
    <w:p>
      <w:pPr>
        <w:pStyle w:val="19"/>
        <w:numPr>
          <w:numId w:val="0"/>
        </w:numPr>
        <w:ind w:left="568" w:leftChars="0"/>
        <w:rPr>
          <w:rFonts w:hint="eastAsia"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（二）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调整依据</w:t>
      </w:r>
    </w:p>
    <w:p>
      <w:pPr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1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Times New Roman" w:eastAsia="仿宋_GB2312"/>
          <w:color w:val="000000"/>
          <w:sz w:val="32"/>
          <w:szCs w:val="32"/>
        </w:rPr>
        <w:t>江苏省医疗保障局等七部门制定的</w:t>
      </w:r>
      <w:r>
        <w:rPr>
          <w:rFonts w:hint="eastAsia" w:ascii="仿宋" w:hAnsi="仿宋" w:eastAsia="仿宋"/>
          <w:color w:val="000000"/>
          <w:sz w:val="32"/>
          <w:szCs w:val="32"/>
        </w:rPr>
        <w:t>《关于建立和完善统一的城乡居民大病保险制度的指导意见》（苏医保发〔2019〕103号）</w:t>
      </w:r>
    </w:p>
    <w:p>
      <w:pPr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2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/>
          <w:color w:val="000000"/>
          <w:sz w:val="32"/>
          <w:szCs w:val="32"/>
        </w:rPr>
        <w:t>市政府办公室《关于进一步完善苏州市大病保险制度的实施意见》（苏府办〔2017〕339号）</w:t>
      </w:r>
    </w:p>
    <w:p>
      <w:pPr>
        <w:pStyle w:val="19"/>
        <w:numPr>
          <w:ilvl w:val="0"/>
          <w:numId w:val="0"/>
        </w:numPr>
        <w:ind w:left="568" w:leftChars="0"/>
        <w:rPr>
          <w:rFonts w:hint="eastAsia" w:ascii="方正黑体_GBK" w:hAnsi="方正黑体_GBK" w:eastAsia="方正黑体_GBK" w:cs="方正黑体_GBK"/>
          <w:b w:val="0"/>
          <w:bCs/>
          <w:snapToGrid w:val="0"/>
          <w:kern w:val="0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b w:val="0"/>
          <w:bCs/>
          <w:snapToGrid w:val="0"/>
          <w:kern w:val="0"/>
          <w:sz w:val="32"/>
          <w:szCs w:val="32"/>
          <w:lang w:eastAsia="zh-CN"/>
        </w:rPr>
        <w:t>二、调整方向</w:t>
      </w:r>
    </w:p>
    <w:p>
      <w:pPr>
        <w:ind w:firstLine="641"/>
        <w:rPr>
          <w:rFonts w:hint="eastAsia"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（一）坚持适度保障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合理筹资、稳健运行是医疗保险制度可持续的基本保证。大病保险政策实施三年以来，我市人均医疗总费用呈现逐年上升态势，同时也带来</w:t>
      </w:r>
      <w:r>
        <w:rPr>
          <w:rFonts w:ascii="仿宋" w:hAnsi="仿宋" w:eastAsia="仿宋" w:cs="Times New Roman"/>
          <w:sz w:val="32"/>
          <w:szCs w:val="32"/>
        </w:rPr>
        <w:t>了大病保险人</w:t>
      </w:r>
      <w:r>
        <w:rPr>
          <w:rFonts w:hint="eastAsia" w:ascii="仿宋" w:hAnsi="仿宋" w:eastAsia="仿宋" w:cs="Times New Roman"/>
          <w:sz w:val="32"/>
          <w:szCs w:val="32"/>
        </w:rPr>
        <w:t>均</w:t>
      </w:r>
      <w:r>
        <w:rPr>
          <w:rFonts w:ascii="仿宋" w:hAnsi="仿宋" w:eastAsia="仿宋" w:cs="Times New Roman"/>
          <w:sz w:val="32"/>
          <w:szCs w:val="32"/>
        </w:rPr>
        <w:t>成本的增</w:t>
      </w:r>
      <w:r>
        <w:rPr>
          <w:rFonts w:hint="eastAsia" w:ascii="仿宋" w:hAnsi="仿宋" w:eastAsia="仿宋" w:cs="Times New Roman"/>
          <w:sz w:val="32"/>
          <w:szCs w:val="32"/>
        </w:rPr>
        <w:t>长，已远超目前人均筹资标准。</w:t>
      </w:r>
      <w:r>
        <w:rPr>
          <w:rFonts w:ascii="仿宋" w:hAnsi="仿宋" w:eastAsia="仿宋"/>
          <w:sz w:val="32"/>
          <w:szCs w:val="32"/>
        </w:rPr>
        <w:t xml:space="preserve"> </w:t>
      </w:r>
    </w:p>
    <w:p>
      <w:pPr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为确保大病保险基金的可持续发展，按照以收定支、收支平衡的</w:t>
      </w:r>
      <w:r>
        <w:rPr>
          <w:rFonts w:ascii="仿宋" w:hAnsi="仿宋" w:eastAsia="仿宋" w:cs="Times New Roman"/>
          <w:sz w:val="32"/>
          <w:szCs w:val="32"/>
        </w:rPr>
        <w:t>原则</w:t>
      </w:r>
      <w:r>
        <w:rPr>
          <w:rFonts w:hint="eastAsia" w:ascii="仿宋" w:hAnsi="仿宋" w:eastAsia="仿宋" w:cs="Times New Roman"/>
          <w:sz w:val="32"/>
          <w:szCs w:val="32"/>
        </w:rPr>
        <w:t>，适度调整</w:t>
      </w:r>
      <w:r>
        <w:rPr>
          <w:rFonts w:ascii="仿宋" w:hAnsi="仿宋" w:eastAsia="仿宋" w:cs="Times New Roman"/>
          <w:sz w:val="32"/>
          <w:szCs w:val="32"/>
        </w:rPr>
        <w:t>待遇保障水平。</w:t>
      </w:r>
      <w:r>
        <w:rPr>
          <w:rFonts w:hint="eastAsia" w:ascii="仿宋" w:hAnsi="仿宋" w:eastAsia="仿宋" w:cs="Times New Roman"/>
          <w:sz w:val="32"/>
          <w:szCs w:val="32"/>
        </w:rPr>
        <w:t>同时均衡各方缴费责任，</w:t>
      </w:r>
      <w:r>
        <w:rPr>
          <w:rFonts w:ascii="仿宋" w:hAnsi="仿宋" w:eastAsia="仿宋" w:cs="Times New Roman"/>
          <w:sz w:val="32"/>
          <w:szCs w:val="32"/>
        </w:rPr>
        <w:t>适度</w:t>
      </w:r>
      <w:r>
        <w:rPr>
          <w:rFonts w:hint="eastAsia" w:ascii="仿宋" w:hAnsi="仿宋" w:eastAsia="仿宋" w:cs="Times New Roman"/>
          <w:sz w:val="32"/>
          <w:szCs w:val="32"/>
        </w:rPr>
        <w:t>加大财政和</w:t>
      </w:r>
      <w:r>
        <w:rPr>
          <w:rFonts w:ascii="仿宋" w:hAnsi="仿宋" w:eastAsia="仿宋" w:cs="Times New Roman"/>
          <w:sz w:val="32"/>
          <w:szCs w:val="32"/>
        </w:rPr>
        <w:t>基金的投入，</w:t>
      </w:r>
      <w:r>
        <w:rPr>
          <w:rFonts w:hint="eastAsia" w:ascii="仿宋" w:hAnsi="仿宋" w:eastAsia="仿宋" w:cs="Times New Roman"/>
          <w:sz w:val="32"/>
          <w:szCs w:val="32"/>
        </w:rPr>
        <w:t>适当</w:t>
      </w:r>
      <w:r>
        <w:rPr>
          <w:rFonts w:ascii="仿宋" w:hAnsi="仿宋" w:eastAsia="仿宋" w:cs="Times New Roman"/>
          <w:sz w:val="32"/>
          <w:szCs w:val="32"/>
        </w:rPr>
        <w:t>提高</w:t>
      </w:r>
      <w:r>
        <w:rPr>
          <w:rFonts w:hint="eastAsia" w:ascii="仿宋" w:hAnsi="仿宋" w:eastAsia="仿宋" w:cs="Times New Roman"/>
          <w:sz w:val="32"/>
          <w:szCs w:val="32"/>
        </w:rPr>
        <w:t>个人</w:t>
      </w:r>
      <w:r>
        <w:rPr>
          <w:rFonts w:ascii="仿宋" w:hAnsi="仿宋" w:eastAsia="仿宋" w:cs="Times New Roman"/>
          <w:sz w:val="32"/>
          <w:szCs w:val="32"/>
        </w:rPr>
        <w:t>缴费</w:t>
      </w:r>
      <w:r>
        <w:rPr>
          <w:rFonts w:hint="eastAsia" w:ascii="仿宋" w:hAnsi="仿宋" w:eastAsia="仿宋" w:cs="Times New Roman"/>
          <w:sz w:val="32"/>
          <w:szCs w:val="32"/>
        </w:rPr>
        <w:t>，确定与各方</w:t>
      </w:r>
      <w:r>
        <w:rPr>
          <w:rFonts w:ascii="仿宋" w:hAnsi="仿宋" w:eastAsia="仿宋" w:cs="Times New Roman"/>
          <w:sz w:val="32"/>
          <w:szCs w:val="32"/>
        </w:rPr>
        <w:t>承受能力相匹配</w:t>
      </w:r>
      <w:r>
        <w:rPr>
          <w:rFonts w:hint="eastAsia" w:ascii="仿宋" w:hAnsi="仿宋" w:eastAsia="仿宋" w:cs="Times New Roman"/>
          <w:sz w:val="32"/>
          <w:szCs w:val="32"/>
        </w:rPr>
        <w:t>的</w:t>
      </w:r>
      <w:r>
        <w:rPr>
          <w:rFonts w:ascii="仿宋" w:hAnsi="仿宋" w:eastAsia="仿宋" w:cs="Times New Roman"/>
          <w:sz w:val="32"/>
          <w:szCs w:val="32"/>
        </w:rPr>
        <w:t>筹资标准。</w:t>
      </w:r>
    </w:p>
    <w:p>
      <w:pPr>
        <w:ind w:firstLine="641"/>
        <w:rPr>
          <w:rFonts w:hint="eastAsia"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（二）坚持精准施策</w:t>
      </w:r>
    </w:p>
    <w:p>
      <w:pPr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在现行大病保险政策框架下，合理制定</w:t>
      </w:r>
      <w:r>
        <w:rPr>
          <w:rFonts w:ascii="仿宋" w:hAnsi="仿宋" w:eastAsia="仿宋" w:cs="Times New Roman"/>
          <w:sz w:val="32"/>
          <w:szCs w:val="32"/>
        </w:rPr>
        <w:t>起付</w:t>
      </w:r>
      <w:r>
        <w:rPr>
          <w:rFonts w:hint="eastAsia" w:ascii="仿宋" w:hAnsi="仿宋" w:eastAsia="仿宋" w:cs="Times New Roman"/>
          <w:sz w:val="32"/>
          <w:szCs w:val="32"/>
        </w:rPr>
        <w:t>标准</w:t>
      </w:r>
      <w:r>
        <w:rPr>
          <w:rFonts w:ascii="仿宋" w:hAnsi="仿宋" w:eastAsia="仿宋" w:cs="Times New Roman"/>
          <w:sz w:val="32"/>
          <w:szCs w:val="32"/>
        </w:rPr>
        <w:t>和</w:t>
      </w:r>
      <w:r>
        <w:rPr>
          <w:rFonts w:hint="eastAsia" w:ascii="仿宋" w:hAnsi="仿宋" w:eastAsia="仿宋" w:cs="Times New Roman"/>
          <w:sz w:val="32"/>
          <w:szCs w:val="32"/>
        </w:rPr>
        <w:t>分</w:t>
      </w:r>
      <w:r>
        <w:rPr>
          <w:rFonts w:ascii="仿宋" w:hAnsi="仿宋" w:eastAsia="仿宋" w:cs="Times New Roman"/>
          <w:sz w:val="32"/>
          <w:szCs w:val="32"/>
        </w:rPr>
        <w:t>段</w:t>
      </w:r>
      <w:r>
        <w:rPr>
          <w:rFonts w:hint="eastAsia" w:ascii="仿宋" w:hAnsi="仿宋" w:eastAsia="仿宋" w:cs="Times New Roman"/>
          <w:sz w:val="32"/>
          <w:szCs w:val="32"/>
        </w:rPr>
        <w:t>累计</w:t>
      </w:r>
      <w:r>
        <w:rPr>
          <w:rFonts w:ascii="仿宋" w:hAnsi="仿宋" w:eastAsia="仿宋" w:cs="Times New Roman"/>
          <w:sz w:val="32"/>
          <w:szCs w:val="32"/>
        </w:rPr>
        <w:t>补偿标准，</w:t>
      </w:r>
      <w:r>
        <w:rPr>
          <w:rFonts w:hint="eastAsia" w:ascii="仿宋" w:hAnsi="仿宋" w:eastAsia="仿宋" w:cs="Times New Roman"/>
          <w:sz w:val="32"/>
          <w:szCs w:val="32"/>
        </w:rPr>
        <w:t>平稳衔接原有政策，经测算</w:t>
      </w:r>
      <w:r>
        <w:rPr>
          <w:rFonts w:ascii="仿宋" w:hAnsi="仿宋" w:eastAsia="仿宋" w:cs="Times New Roman"/>
          <w:sz w:val="32"/>
          <w:szCs w:val="32"/>
        </w:rPr>
        <w:t>，</w:t>
      </w:r>
      <w:r>
        <w:rPr>
          <w:rFonts w:hint="eastAsia" w:ascii="仿宋" w:hAnsi="仿宋" w:eastAsia="仿宋" w:cs="Times New Roman"/>
          <w:sz w:val="32"/>
          <w:szCs w:val="32"/>
        </w:rPr>
        <w:t>调整后的赔付</w:t>
      </w:r>
      <w:r>
        <w:rPr>
          <w:rFonts w:ascii="仿宋" w:hAnsi="仿宋" w:eastAsia="仿宋" w:cs="Times New Roman"/>
          <w:sz w:val="32"/>
          <w:szCs w:val="32"/>
        </w:rPr>
        <w:t>覆盖</w:t>
      </w:r>
      <w:r>
        <w:rPr>
          <w:rFonts w:hint="eastAsia" w:ascii="仿宋" w:hAnsi="仿宋" w:eastAsia="仿宋" w:cs="Times New Roman"/>
          <w:sz w:val="32"/>
          <w:szCs w:val="32"/>
        </w:rPr>
        <w:t>率与调整</w:t>
      </w:r>
      <w:r>
        <w:rPr>
          <w:rFonts w:ascii="仿宋" w:hAnsi="仿宋" w:eastAsia="仿宋" w:cs="Times New Roman"/>
          <w:sz w:val="32"/>
          <w:szCs w:val="32"/>
        </w:rPr>
        <w:t>前基本持平。</w:t>
      </w:r>
      <w:r>
        <w:rPr>
          <w:rFonts w:hint="eastAsia" w:ascii="仿宋" w:hAnsi="仿宋" w:eastAsia="仿宋" w:cs="Times New Roman"/>
          <w:sz w:val="32"/>
          <w:szCs w:val="32"/>
        </w:rPr>
        <w:t>同时更加关注保障大病患者高额医疗费用，提高高额费用段患者的支付比例，精准</w:t>
      </w:r>
      <w:r>
        <w:rPr>
          <w:rFonts w:ascii="仿宋" w:hAnsi="仿宋" w:eastAsia="仿宋" w:cs="Times New Roman"/>
          <w:sz w:val="32"/>
          <w:szCs w:val="32"/>
        </w:rPr>
        <w:t>施策，</w:t>
      </w:r>
      <w:r>
        <w:rPr>
          <w:rFonts w:hint="eastAsia" w:ascii="仿宋" w:hAnsi="仿宋" w:eastAsia="仿宋" w:cs="Times New Roman"/>
          <w:sz w:val="32"/>
          <w:szCs w:val="32"/>
        </w:rPr>
        <w:t>有效防止因病返贫。</w:t>
      </w:r>
    </w:p>
    <w:p>
      <w:pPr>
        <w:ind w:firstLine="641"/>
        <w:rPr>
          <w:rFonts w:hint="eastAsia"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（三）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坚持规范服务</w:t>
      </w:r>
    </w:p>
    <w:p>
      <w:pPr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通过改进大病补偿支付形式，在信息系统开发完成的基础上，为实现大病保险实时划卡结算做好准备，规范</w:t>
      </w:r>
      <w:r>
        <w:rPr>
          <w:rFonts w:ascii="仿宋" w:hAnsi="仿宋" w:eastAsia="仿宋" w:cs="Times New Roman"/>
          <w:sz w:val="32"/>
          <w:szCs w:val="32"/>
        </w:rPr>
        <w:t>大病保险经办服务，</w:t>
      </w:r>
      <w:r>
        <w:rPr>
          <w:rFonts w:hint="eastAsia" w:ascii="仿宋" w:hAnsi="仿宋" w:eastAsia="仿宋" w:cs="Times New Roman"/>
          <w:sz w:val="32"/>
          <w:szCs w:val="32"/>
        </w:rPr>
        <w:t>着力提升医保公共服务的</w:t>
      </w:r>
      <w:r>
        <w:rPr>
          <w:rFonts w:ascii="仿宋" w:hAnsi="仿宋" w:eastAsia="仿宋" w:cs="Times New Roman"/>
          <w:sz w:val="32"/>
          <w:szCs w:val="32"/>
        </w:rPr>
        <w:t>便利性</w:t>
      </w:r>
      <w:r>
        <w:rPr>
          <w:rFonts w:hint="eastAsia" w:ascii="仿宋" w:hAnsi="仿宋" w:eastAsia="仿宋" w:cs="Times New Roman"/>
          <w:sz w:val="32"/>
          <w:szCs w:val="32"/>
        </w:rPr>
        <w:t>。</w:t>
      </w:r>
    </w:p>
    <w:p>
      <w:pPr>
        <w:pStyle w:val="19"/>
        <w:numPr>
          <w:numId w:val="0"/>
        </w:numPr>
        <w:ind w:left="568" w:leftChars="0"/>
        <w:rPr>
          <w:rFonts w:hint="eastAsia" w:ascii="方正黑体_GBK" w:hAnsi="方正黑体_GBK" w:eastAsia="方正黑体_GBK" w:cs="方正黑体_GBK"/>
          <w:b w:val="0"/>
          <w:bCs/>
          <w:snapToGrid w:val="0"/>
          <w:kern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bCs/>
          <w:snapToGrid w:val="0"/>
          <w:kern w:val="0"/>
          <w:sz w:val="32"/>
          <w:szCs w:val="32"/>
          <w:lang w:eastAsia="zh-CN"/>
        </w:rPr>
        <w:t>三、</w:t>
      </w:r>
      <w:r>
        <w:rPr>
          <w:rFonts w:hint="eastAsia" w:ascii="方正黑体_GBK" w:hAnsi="方正黑体_GBK" w:eastAsia="方正黑体_GBK" w:cs="方正黑体_GBK"/>
          <w:b w:val="0"/>
          <w:bCs/>
          <w:snapToGrid w:val="0"/>
          <w:kern w:val="0"/>
          <w:sz w:val="32"/>
          <w:szCs w:val="32"/>
        </w:rPr>
        <w:t>起草过程</w:t>
      </w:r>
    </w:p>
    <w:p>
      <w:pPr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按照工作安排，市医保局会同相关部门组织精干力量，认真做好文件起草工作，在9月上旬完成了初稿并向各地征求意见，9月下旬，吸纳了财政等部门的合理建议，对《通知》进行了修改完善。</w:t>
      </w:r>
    </w:p>
    <w:p>
      <w:pPr>
        <w:pStyle w:val="19"/>
        <w:numPr>
          <w:numId w:val="0"/>
        </w:numPr>
        <w:ind w:left="568" w:leftChars="0"/>
        <w:rPr>
          <w:rFonts w:hint="eastAsia" w:ascii="方正黑体_GBK" w:hAnsi="方正黑体_GBK" w:eastAsia="方正黑体_GBK" w:cs="方正黑体_GBK"/>
          <w:b w:val="0"/>
          <w:bCs/>
          <w:snapToGrid w:val="0"/>
          <w:kern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bCs/>
          <w:snapToGrid w:val="0"/>
          <w:kern w:val="0"/>
          <w:sz w:val="32"/>
          <w:szCs w:val="32"/>
          <w:lang w:eastAsia="zh-CN"/>
        </w:rPr>
        <w:t>四、</w:t>
      </w:r>
      <w:r>
        <w:rPr>
          <w:rFonts w:hint="eastAsia" w:ascii="方正黑体_GBK" w:hAnsi="方正黑体_GBK" w:eastAsia="方正黑体_GBK" w:cs="方正黑体_GBK"/>
          <w:b w:val="0"/>
          <w:bCs/>
          <w:snapToGrid w:val="0"/>
          <w:kern w:val="0"/>
          <w:sz w:val="32"/>
          <w:szCs w:val="32"/>
        </w:rPr>
        <w:t>具体内容</w:t>
      </w:r>
    </w:p>
    <w:p>
      <w:pPr>
        <w:ind w:firstLine="480" w:firstLineChars="150"/>
        <w:rPr>
          <w:rFonts w:hint="eastAsia"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（一）调整保障水平</w:t>
      </w:r>
    </w:p>
    <w:p>
      <w:pPr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1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Times New Roman"/>
          <w:sz w:val="32"/>
          <w:szCs w:val="32"/>
        </w:rPr>
        <w:t xml:space="preserve">调整起付标准。将大病保险全年度累计自负费用起付标准由6000元调整至8000元； </w:t>
      </w:r>
    </w:p>
    <w:p>
      <w:pPr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Times New Roman"/>
          <w:sz w:val="32"/>
          <w:szCs w:val="32"/>
        </w:rPr>
        <w:t>取消800元固定赔付金额；大病保险全年度累计自负费用8000元-30000元支付比例设定为50%；自负和合规自费费用30000-50000元支付比例设定为60%；</w:t>
      </w:r>
    </w:p>
    <w:p>
      <w:pPr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3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Times New Roman"/>
          <w:sz w:val="32"/>
          <w:szCs w:val="32"/>
        </w:rPr>
        <w:t>提高高额费用段支付比例。将自负和合规自费费用20万元以上费用段支付比例提高至85%；</w:t>
      </w:r>
    </w:p>
    <w:p>
      <w:pPr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4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Times New Roman"/>
          <w:sz w:val="32"/>
          <w:szCs w:val="32"/>
        </w:rPr>
        <w:t>向实时救助人员倾斜。《苏州市社会医疗救助办法》中规定的实时救助人员，年度累计自负费用起付标准为4000元；各费用段支付比例提高5个百分点。</w:t>
      </w:r>
    </w:p>
    <w:p>
      <w:pPr>
        <w:ind w:firstLine="480" w:firstLineChars="150"/>
        <w:rPr>
          <w:rFonts w:hint="eastAsia"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（二）调整筹资标准</w:t>
      </w:r>
    </w:p>
    <w:p>
      <w:pPr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2021年参保职工大病保险筹资标准提高35元/人.年，其中从职工基本医疗保险基金划转20元/人.年，财政补贴15元/人.年；参保居民大病保险筹资水平提高10元/人.年，其中从居民基本医疗保险基金划转5元/人.年，财政补贴5元/人.年。</w:t>
      </w:r>
    </w:p>
    <w:p>
      <w:pPr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2022年、2023年大病保险筹资标准在2021年的筹资标准基础上增加10元，由参保人员个人承担。</w:t>
      </w:r>
    </w:p>
    <w:p>
      <w:pPr>
        <w:ind w:firstLine="640" w:firstLineChars="200"/>
        <w:rPr>
          <w:rFonts w:ascii="仿宋" w:hAnsi="仿宋" w:eastAsia="仿宋" w:cs="Times New Roman"/>
          <w:sz w:val="32"/>
          <w:szCs w:val="32"/>
        </w:rPr>
      </w:pPr>
    </w:p>
    <w:p>
      <w:pPr>
        <w:ind w:firstLine="640" w:firstLineChars="200"/>
        <w:rPr>
          <w:rFonts w:ascii="仿宋" w:hAnsi="仿宋" w:eastAsia="仿宋" w:cs="Times New Roman"/>
          <w:sz w:val="32"/>
          <w:szCs w:val="32"/>
        </w:rPr>
      </w:pPr>
      <w:bookmarkStart w:id="1" w:name="_GoBack"/>
      <w:bookmarkEnd w:id="1"/>
    </w:p>
    <w:p>
      <w:pPr>
        <w:ind w:firstLine="5440" w:firstLineChars="17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苏州市医疗保障局</w:t>
      </w:r>
    </w:p>
    <w:p>
      <w:pPr>
        <w:ind w:firstLine="5440" w:firstLineChars="17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2020年11月5日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6184451"/>
      <w:docPartObj>
        <w:docPartGallery w:val="AutoText"/>
      </w:docPartObj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7B2"/>
    <w:rsid w:val="00032F80"/>
    <w:rsid w:val="000513F6"/>
    <w:rsid w:val="000533FD"/>
    <w:rsid w:val="0005614A"/>
    <w:rsid w:val="00064AA8"/>
    <w:rsid w:val="00064B5D"/>
    <w:rsid w:val="00074F3F"/>
    <w:rsid w:val="000838A4"/>
    <w:rsid w:val="00090E81"/>
    <w:rsid w:val="00096BC1"/>
    <w:rsid w:val="000A7A44"/>
    <w:rsid w:val="000B23D4"/>
    <w:rsid w:val="000C70F5"/>
    <w:rsid w:val="000D09BA"/>
    <w:rsid w:val="0011490A"/>
    <w:rsid w:val="0012038D"/>
    <w:rsid w:val="00132B1F"/>
    <w:rsid w:val="001374BD"/>
    <w:rsid w:val="00153C11"/>
    <w:rsid w:val="00160A54"/>
    <w:rsid w:val="00167907"/>
    <w:rsid w:val="001827B2"/>
    <w:rsid w:val="00186FB2"/>
    <w:rsid w:val="001A01A9"/>
    <w:rsid w:val="001A1F55"/>
    <w:rsid w:val="001A5330"/>
    <w:rsid w:val="001A6B46"/>
    <w:rsid w:val="001C4B8C"/>
    <w:rsid w:val="001E626A"/>
    <w:rsid w:val="002008CF"/>
    <w:rsid w:val="00212DD9"/>
    <w:rsid w:val="00215C3F"/>
    <w:rsid w:val="00232C32"/>
    <w:rsid w:val="00240661"/>
    <w:rsid w:val="0024703F"/>
    <w:rsid w:val="00270511"/>
    <w:rsid w:val="00283BB8"/>
    <w:rsid w:val="00284A09"/>
    <w:rsid w:val="00290861"/>
    <w:rsid w:val="002B0623"/>
    <w:rsid w:val="002C1403"/>
    <w:rsid w:val="002D39BF"/>
    <w:rsid w:val="002E1424"/>
    <w:rsid w:val="002E6B3F"/>
    <w:rsid w:val="00303411"/>
    <w:rsid w:val="00306C9A"/>
    <w:rsid w:val="0033367B"/>
    <w:rsid w:val="003406F3"/>
    <w:rsid w:val="00340BBA"/>
    <w:rsid w:val="00345979"/>
    <w:rsid w:val="0036189F"/>
    <w:rsid w:val="00393F32"/>
    <w:rsid w:val="00395870"/>
    <w:rsid w:val="003B1E7D"/>
    <w:rsid w:val="003B4346"/>
    <w:rsid w:val="003B67AB"/>
    <w:rsid w:val="003C0F7E"/>
    <w:rsid w:val="003D0F48"/>
    <w:rsid w:val="003D0FB7"/>
    <w:rsid w:val="003E23A6"/>
    <w:rsid w:val="003E5906"/>
    <w:rsid w:val="00400074"/>
    <w:rsid w:val="00411BF4"/>
    <w:rsid w:val="00413524"/>
    <w:rsid w:val="0044735D"/>
    <w:rsid w:val="00465B6F"/>
    <w:rsid w:val="004814C7"/>
    <w:rsid w:val="00490609"/>
    <w:rsid w:val="004A16B8"/>
    <w:rsid w:val="004C060B"/>
    <w:rsid w:val="004C2B61"/>
    <w:rsid w:val="004C7BA1"/>
    <w:rsid w:val="00506902"/>
    <w:rsid w:val="00510423"/>
    <w:rsid w:val="00513009"/>
    <w:rsid w:val="005241DC"/>
    <w:rsid w:val="00532754"/>
    <w:rsid w:val="00532B9D"/>
    <w:rsid w:val="00554809"/>
    <w:rsid w:val="00584102"/>
    <w:rsid w:val="00592228"/>
    <w:rsid w:val="005928DF"/>
    <w:rsid w:val="005A6120"/>
    <w:rsid w:val="005A7CBB"/>
    <w:rsid w:val="005C2907"/>
    <w:rsid w:val="005C3F89"/>
    <w:rsid w:val="005D05BF"/>
    <w:rsid w:val="005F0D0A"/>
    <w:rsid w:val="005F70BF"/>
    <w:rsid w:val="0060465A"/>
    <w:rsid w:val="0060698A"/>
    <w:rsid w:val="00627464"/>
    <w:rsid w:val="006369B3"/>
    <w:rsid w:val="00640206"/>
    <w:rsid w:val="006461A7"/>
    <w:rsid w:val="00650185"/>
    <w:rsid w:val="00651387"/>
    <w:rsid w:val="00661CE8"/>
    <w:rsid w:val="00670BE8"/>
    <w:rsid w:val="00690A9B"/>
    <w:rsid w:val="0069619C"/>
    <w:rsid w:val="006A17BF"/>
    <w:rsid w:val="006A3CB2"/>
    <w:rsid w:val="006B2823"/>
    <w:rsid w:val="006C1552"/>
    <w:rsid w:val="006C1DEA"/>
    <w:rsid w:val="006C3662"/>
    <w:rsid w:val="006D3574"/>
    <w:rsid w:val="006F0FE1"/>
    <w:rsid w:val="006F4CCA"/>
    <w:rsid w:val="00706096"/>
    <w:rsid w:val="007122BB"/>
    <w:rsid w:val="007123FB"/>
    <w:rsid w:val="007143F3"/>
    <w:rsid w:val="00717B20"/>
    <w:rsid w:val="00733876"/>
    <w:rsid w:val="00793AA7"/>
    <w:rsid w:val="007B11D9"/>
    <w:rsid w:val="007C6ED7"/>
    <w:rsid w:val="007C7F78"/>
    <w:rsid w:val="007E3E16"/>
    <w:rsid w:val="007E50AC"/>
    <w:rsid w:val="007F282F"/>
    <w:rsid w:val="00821D86"/>
    <w:rsid w:val="00837505"/>
    <w:rsid w:val="008A09A7"/>
    <w:rsid w:val="008B5464"/>
    <w:rsid w:val="008B6B16"/>
    <w:rsid w:val="008D268C"/>
    <w:rsid w:val="008D4AAA"/>
    <w:rsid w:val="008F14B3"/>
    <w:rsid w:val="008F6526"/>
    <w:rsid w:val="00912286"/>
    <w:rsid w:val="00914C18"/>
    <w:rsid w:val="00917088"/>
    <w:rsid w:val="009419BA"/>
    <w:rsid w:val="0094760E"/>
    <w:rsid w:val="00963533"/>
    <w:rsid w:val="00985DF7"/>
    <w:rsid w:val="009A76DD"/>
    <w:rsid w:val="009B4AE3"/>
    <w:rsid w:val="009C4053"/>
    <w:rsid w:val="009C67B7"/>
    <w:rsid w:val="009C7B64"/>
    <w:rsid w:val="009D6926"/>
    <w:rsid w:val="009E00E4"/>
    <w:rsid w:val="00A450B6"/>
    <w:rsid w:val="00A6584E"/>
    <w:rsid w:val="00A765FD"/>
    <w:rsid w:val="00A80064"/>
    <w:rsid w:val="00A918B5"/>
    <w:rsid w:val="00AB25AD"/>
    <w:rsid w:val="00AC2563"/>
    <w:rsid w:val="00AC6110"/>
    <w:rsid w:val="00AE61A8"/>
    <w:rsid w:val="00AF154C"/>
    <w:rsid w:val="00AF216A"/>
    <w:rsid w:val="00B34016"/>
    <w:rsid w:val="00B56BEE"/>
    <w:rsid w:val="00B7658E"/>
    <w:rsid w:val="00B81F3B"/>
    <w:rsid w:val="00B96BF7"/>
    <w:rsid w:val="00B96CF4"/>
    <w:rsid w:val="00BB20AF"/>
    <w:rsid w:val="00BC0D6A"/>
    <w:rsid w:val="00BC52BC"/>
    <w:rsid w:val="00BD27EE"/>
    <w:rsid w:val="00BE4A96"/>
    <w:rsid w:val="00C1359A"/>
    <w:rsid w:val="00C1409C"/>
    <w:rsid w:val="00C225C2"/>
    <w:rsid w:val="00C23A8D"/>
    <w:rsid w:val="00C32BCE"/>
    <w:rsid w:val="00C55141"/>
    <w:rsid w:val="00C62947"/>
    <w:rsid w:val="00C777AB"/>
    <w:rsid w:val="00C96D75"/>
    <w:rsid w:val="00CA2307"/>
    <w:rsid w:val="00CC56C3"/>
    <w:rsid w:val="00CD6B5E"/>
    <w:rsid w:val="00CE3FF4"/>
    <w:rsid w:val="00CE5C4A"/>
    <w:rsid w:val="00CF591A"/>
    <w:rsid w:val="00CF641A"/>
    <w:rsid w:val="00D2445C"/>
    <w:rsid w:val="00D249E2"/>
    <w:rsid w:val="00D27ECF"/>
    <w:rsid w:val="00D45EC4"/>
    <w:rsid w:val="00D539D7"/>
    <w:rsid w:val="00D54431"/>
    <w:rsid w:val="00D64AAC"/>
    <w:rsid w:val="00D81F15"/>
    <w:rsid w:val="00D86DE3"/>
    <w:rsid w:val="00DB7AAB"/>
    <w:rsid w:val="00DC5500"/>
    <w:rsid w:val="00DF0FA6"/>
    <w:rsid w:val="00DF3DB9"/>
    <w:rsid w:val="00E137C0"/>
    <w:rsid w:val="00E25951"/>
    <w:rsid w:val="00E27E75"/>
    <w:rsid w:val="00E32D24"/>
    <w:rsid w:val="00E4183F"/>
    <w:rsid w:val="00E44691"/>
    <w:rsid w:val="00E50707"/>
    <w:rsid w:val="00E53400"/>
    <w:rsid w:val="00E55069"/>
    <w:rsid w:val="00E57647"/>
    <w:rsid w:val="00E658C7"/>
    <w:rsid w:val="00E65A85"/>
    <w:rsid w:val="00E7376E"/>
    <w:rsid w:val="00E76A0A"/>
    <w:rsid w:val="00E83222"/>
    <w:rsid w:val="00E958B5"/>
    <w:rsid w:val="00EA6C52"/>
    <w:rsid w:val="00EB0CE5"/>
    <w:rsid w:val="00EB2642"/>
    <w:rsid w:val="00EB2FBF"/>
    <w:rsid w:val="00EC48E7"/>
    <w:rsid w:val="00EE2AE6"/>
    <w:rsid w:val="00EE6632"/>
    <w:rsid w:val="00EF1E09"/>
    <w:rsid w:val="00EF23B5"/>
    <w:rsid w:val="00F47C80"/>
    <w:rsid w:val="00F54CF6"/>
    <w:rsid w:val="00F57E11"/>
    <w:rsid w:val="00F63A66"/>
    <w:rsid w:val="00F7021B"/>
    <w:rsid w:val="00F71386"/>
    <w:rsid w:val="00F722ED"/>
    <w:rsid w:val="00FD73B7"/>
    <w:rsid w:val="00FE05E1"/>
    <w:rsid w:val="0F553305"/>
    <w:rsid w:val="61CC3BB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nhideWhenUsed="0" w:uiPriority="0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5"/>
    <w:qFormat/>
    <w:uiPriority w:val="0"/>
    <w:pPr>
      <w:jc w:val="left"/>
    </w:pPr>
    <w:rPr>
      <w:rFonts w:ascii="Calibri" w:hAnsi="Calibri" w:eastAsia="宋体" w:cs="Times New Roman"/>
      <w:szCs w:val="24"/>
    </w:rPr>
  </w:style>
  <w:style w:type="paragraph" w:styleId="3">
    <w:name w:val="Date"/>
    <w:basedOn w:val="1"/>
    <w:next w:val="1"/>
    <w:link w:val="20"/>
    <w:qFormat/>
    <w:uiPriority w:val="0"/>
    <w:pPr>
      <w:ind w:left="100" w:leftChars="2500"/>
    </w:pPr>
    <w:rPr>
      <w:rFonts w:ascii="Calibri" w:hAnsi="Calibri" w:eastAsia="宋体" w:cs="Times New Roman"/>
      <w:szCs w:val="24"/>
    </w:rPr>
  </w:style>
  <w:style w:type="paragraph" w:styleId="4">
    <w:name w:val="Balloon Text"/>
    <w:basedOn w:val="1"/>
    <w:link w:val="17"/>
    <w:qFormat/>
    <w:uiPriority w:val="0"/>
    <w:rPr>
      <w:rFonts w:ascii="Calibri" w:hAnsi="Calibri" w:eastAsia="宋体" w:cs="Times New Roman"/>
      <w:sz w:val="18"/>
      <w:szCs w:val="18"/>
    </w:r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8">
    <w:name w:val="annotation subject"/>
    <w:basedOn w:val="2"/>
    <w:next w:val="2"/>
    <w:link w:val="16"/>
    <w:uiPriority w:val="0"/>
    <w:rPr>
      <w:b/>
      <w:bCs/>
    </w:rPr>
  </w:style>
  <w:style w:type="table" w:styleId="10">
    <w:name w:val="Table Grid"/>
    <w:basedOn w:val="9"/>
    <w:qFormat/>
    <w:uiPriority w:val="3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annotation reference"/>
    <w:uiPriority w:val="0"/>
    <w:rPr>
      <w:sz w:val="21"/>
      <w:szCs w:val="21"/>
    </w:rPr>
  </w:style>
  <w:style w:type="character" w:customStyle="1" w:styleId="13">
    <w:name w:val="页眉 Char"/>
    <w:basedOn w:val="11"/>
    <w:link w:val="6"/>
    <w:uiPriority w:val="0"/>
    <w:rPr>
      <w:sz w:val="18"/>
      <w:szCs w:val="18"/>
    </w:rPr>
  </w:style>
  <w:style w:type="character" w:customStyle="1" w:styleId="14">
    <w:name w:val="页脚 Char"/>
    <w:basedOn w:val="11"/>
    <w:link w:val="5"/>
    <w:uiPriority w:val="99"/>
    <w:rPr>
      <w:sz w:val="18"/>
      <w:szCs w:val="18"/>
    </w:rPr>
  </w:style>
  <w:style w:type="character" w:customStyle="1" w:styleId="15">
    <w:name w:val="批注文字 Char"/>
    <w:basedOn w:val="11"/>
    <w:link w:val="2"/>
    <w:qFormat/>
    <w:uiPriority w:val="0"/>
    <w:rPr>
      <w:rFonts w:ascii="Calibri" w:hAnsi="Calibri" w:eastAsia="宋体" w:cs="Times New Roman"/>
      <w:szCs w:val="24"/>
    </w:rPr>
  </w:style>
  <w:style w:type="character" w:customStyle="1" w:styleId="16">
    <w:name w:val="批注主题 Char"/>
    <w:basedOn w:val="15"/>
    <w:link w:val="8"/>
    <w:qFormat/>
    <w:uiPriority w:val="0"/>
    <w:rPr>
      <w:rFonts w:ascii="Calibri" w:hAnsi="Calibri" w:eastAsia="宋体" w:cs="Times New Roman"/>
      <w:b/>
      <w:bCs/>
      <w:szCs w:val="24"/>
    </w:rPr>
  </w:style>
  <w:style w:type="character" w:customStyle="1" w:styleId="17">
    <w:name w:val="批注框文本 Char"/>
    <w:basedOn w:val="11"/>
    <w:link w:val="4"/>
    <w:qFormat/>
    <w:uiPriority w:val="0"/>
    <w:rPr>
      <w:rFonts w:ascii="Calibri" w:hAnsi="Calibri" w:eastAsia="宋体" w:cs="Times New Roman"/>
      <w:sz w:val="18"/>
      <w:szCs w:val="18"/>
    </w:rPr>
  </w:style>
  <w:style w:type="table" w:customStyle="1" w:styleId="18">
    <w:name w:val="网格型浅色1"/>
    <w:basedOn w:val="9"/>
    <w:qFormat/>
    <w:uiPriority w:val="40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  <w:insideH w:val="single" w:color="BFBFBF" w:sz="4" w:space="0"/>
        <w:insideV w:val="single" w:color="BFBFBF" w:sz="4" w:space="0"/>
      </w:tblBorders>
    </w:tblPr>
  </w:style>
  <w:style w:type="paragraph" w:styleId="19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  <w:szCs w:val="24"/>
    </w:rPr>
  </w:style>
  <w:style w:type="character" w:customStyle="1" w:styleId="20">
    <w:name w:val="日期 Char"/>
    <w:basedOn w:val="11"/>
    <w:link w:val="3"/>
    <w:qFormat/>
    <w:uiPriority w:val="0"/>
    <w:rPr>
      <w:rFonts w:ascii="Calibri" w:hAnsi="Calibri" w:eastAsia="宋体" w:cs="Times New Roman"/>
      <w:szCs w:val="24"/>
    </w:rPr>
  </w:style>
  <w:style w:type="paragraph" w:customStyle="1" w:styleId="21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等线" w:eastAsia="仿宋_GB2312" w:cs="仿宋_GB2312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222</Words>
  <Characters>1270</Characters>
  <Lines>10</Lines>
  <Paragraphs>2</Paragraphs>
  <TotalTime>10</TotalTime>
  <ScaleCrop>false</ScaleCrop>
  <LinksUpToDate>false</LinksUpToDate>
  <CharactersWithSpaces>1490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2020-11-05T07:32:00Z</dcterms:created>
  <dc:creator>user</dc:creator>
  <cp:lastModifiedBy>周志</cp:lastModifiedBy>
  <cp:lastPrinted>2020-11-04T08:56:00Z</cp:lastPrinted>
  <dcterms:modified xsi:type="dcterms:W3CDTF">2020-11-05T08:16:18Z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