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pacing w:line="580" w:lineRule="exact"/>
        <w:jc w:val="center"/>
        <w:rPr>
          <w:rFonts w:ascii="宋体" w:hAnsi="宋体" w:cs="宋体"/>
          <w:b/>
          <w:bCs/>
          <w:color w:val="333333"/>
          <w:kern w:val="0"/>
          <w:sz w:val="44"/>
          <w:szCs w:val="44"/>
        </w:rPr>
      </w:pPr>
      <w:r>
        <w:rPr>
          <w:rFonts w:hint="eastAsia" w:ascii="宋体" w:hAnsi="宋体" w:cs="宋体"/>
          <w:b/>
          <w:bCs/>
          <w:color w:val="333333"/>
          <w:kern w:val="0"/>
          <w:sz w:val="44"/>
          <w:szCs w:val="44"/>
        </w:rPr>
        <w:t>苏州市电竞产业奖励补助实施细则</w:t>
      </w:r>
    </w:p>
    <w:p>
      <w:pPr>
        <w:spacing w:line="580" w:lineRule="exact"/>
        <w:jc w:val="center"/>
        <w:rPr>
          <w:rFonts w:ascii="华文楷体" w:hAnsi="华文楷体" w:eastAsia="华文楷体" w:cs="仿宋_GB2312"/>
          <w:bCs/>
          <w:sz w:val="32"/>
          <w:szCs w:val="32"/>
        </w:rPr>
      </w:pPr>
      <w:r>
        <w:rPr>
          <w:rFonts w:hint="eastAsia" w:ascii="华文楷体" w:hAnsi="华文楷体" w:eastAsia="华文楷体" w:cs="仿宋_GB2312"/>
          <w:bCs/>
          <w:sz w:val="32"/>
          <w:szCs w:val="32"/>
        </w:rPr>
        <w:t>（征求意见稿）</w:t>
      </w:r>
    </w:p>
    <w:p>
      <w:pPr>
        <w:spacing w:line="580" w:lineRule="exact"/>
        <w:jc w:val="center"/>
        <w:rPr>
          <w:rFonts w:hint="eastAsia" w:ascii="黑体" w:hAnsi="黑体" w:eastAsia="黑体" w:cs="仿宋_GB2312"/>
          <w:bCs/>
          <w:sz w:val="32"/>
          <w:szCs w:val="32"/>
        </w:rPr>
      </w:pPr>
    </w:p>
    <w:p>
      <w:pPr>
        <w:spacing w:line="580" w:lineRule="exact"/>
        <w:jc w:val="center"/>
        <w:rPr>
          <w:rFonts w:ascii="黑体" w:hAnsi="黑体" w:eastAsia="黑体"/>
          <w:bCs/>
          <w:sz w:val="32"/>
          <w:szCs w:val="32"/>
        </w:rPr>
      </w:pPr>
      <w:r>
        <w:rPr>
          <w:rFonts w:hint="eastAsia" w:ascii="黑体" w:hAnsi="黑体" w:eastAsia="黑体" w:cs="仿宋_GB2312"/>
          <w:bCs/>
          <w:sz w:val="32"/>
          <w:szCs w:val="32"/>
        </w:rPr>
        <w:t>第一章  总 则</w:t>
      </w:r>
    </w:p>
    <w:p>
      <w:pPr>
        <w:spacing w:line="580" w:lineRule="exact"/>
        <w:ind w:firstLine="643" w:firstLineChars="200"/>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b/>
          <w:bCs/>
          <w:color w:val="000000" w:themeColor="text1"/>
          <w:sz w:val="32"/>
          <w:szCs w:val="32"/>
          <w14:textFill>
            <w14:solidFill>
              <w14:schemeClr w14:val="tx1"/>
            </w14:solidFill>
          </w14:textFill>
        </w:rPr>
        <w:t>第一条</w:t>
      </w:r>
      <w:r>
        <w:rPr>
          <w:rFonts w:hint="eastAsia" w:ascii="仿宋_GB2312" w:hAnsi="仿宋" w:eastAsia="仿宋_GB2312" w:cs="仿宋_GB2312"/>
          <w:color w:val="000000" w:themeColor="text1"/>
          <w:sz w:val="32"/>
          <w:szCs w:val="32"/>
          <w14:textFill>
            <w14:solidFill>
              <w14:schemeClr w14:val="tx1"/>
            </w14:solidFill>
          </w14:textFill>
        </w:rPr>
        <w:t xml:space="preserve"> 为贯彻落实市政府办公室《关于促进苏州市电竞产业健康发展的实施意见》，做强电竞产业链条，培育电竞产业新业态，优化电竞产业发展生态，推动苏州电竞产业健康快速发展，放大产业集聚发展效应，增强经济发展新动能，结合我市实际情况，制定本实施细则。</w:t>
      </w:r>
    </w:p>
    <w:p>
      <w:pPr>
        <w:spacing w:line="580" w:lineRule="exact"/>
        <w:jc w:val="left"/>
        <w:rPr>
          <w:rFonts w:hint="eastAsia" w:ascii="仿宋_GB2312" w:hAnsi="仿宋" w:eastAsia="仿宋_GB2312" w:cs="仿宋_GB2312"/>
          <w:color w:val="000000" w:themeColor="text1"/>
          <w:sz w:val="32"/>
          <w:szCs w:val="32"/>
          <w:lang w:eastAsia="zh-CN"/>
          <w14:textFill>
            <w14:solidFill>
              <w14:schemeClr w14:val="tx1"/>
            </w14:solidFill>
          </w14:textFill>
        </w:rPr>
      </w:pPr>
      <w:r>
        <w:rPr>
          <w:rFonts w:hint="eastAsia" w:ascii="仿宋_GB2312" w:hAnsi="仿宋" w:eastAsia="仿宋_GB2312" w:cs="仿宋_GB2312"/>
          <w:b/>
          <w:bCs/>
          <w:color w:val="000000" w:themeColor="text1"/>
          <w:sz w:val="32"/>
          <w:szCs w:val="32"/>
          <w14:textFill>
            <w14:solidFill>
              <w14:schemeClr w14:val="tx1"/>
            </w14:solidFill>
          </w14:textFill>
        </w:rPr>
        <w:t xml:space="preserve">    第二条 </w:t>
      </w:r>
      <w:r>
        <w:rPr>
          <w:rFonts w:hint="eastAsia" w:ascii="仿宋_GB2312" w:hAnsi="仿宋" w:eastAsia="仿宋_GB2312" w:cs="仿宋_GB2312"/>
          <w:color w:val="000000" w:themeColor="text1"/>
          <w:sz w:val="32"/>
          <w:szCs w:val="32"/>
          <w14:textFill>
            <w14:solidFill>
              <w14:schemeClr w14:val="tx1"/>
            </w14:solidFill>
          </w14:textFill>
        </w:rPr>
        <w:t>本实施细则扶持对象为工商注册、税务登记、统计关系均在苏州大市内，从事产业园区建设运营、电竞游戏开发、电竞俱乐部、电竞场馆、赛事运营、软硬件研发与销售、直播平台、电竞教育与培训等电竞相关业务的企业、社会组织、在苏高校或非公益一类事业单位。</w:t>
      </w:r>
    </w:p>
    <w:p>
      <w:pPr>
        <w:spacing w:line="580" w:lineRule="exact"/>
        <w:jc w:val="center"/>
        <w:rPr>
          <w:rFonts w:ascii="黑体" w:hAnsi="黑体" w:eastAsia="黑体" w:cs="仿宋_GB2312"/>
          <w:bCs/>
          <w:color w:val="000000" w:themeColor="text1"/>
          <w:sz w:val="32"/>
          <w:szCs w:val="32"/>
          <w14:textFill>
            <w14:solidFill>
              <w14:schemeClr w14:val="tx1"/>
            </w14:solidFill>
          </w14:textFill>
        </w:rPr>
      </w:pPr>
    </w:p>
    <w:p>
      <w:pPr>
        <w:spacing w:line="580" w:lineRule="exact"/>
        <w:jc w:val="center"/>
        <w:rPr>
          <w:rFonts w:ascii="黑体" w:hAnsi="黑体" w:eastAsia="黑体"/>
          <w:bCs/>
          <w:color w:val="000000" w:themeColor="text1"/>
          <w:sz w:val="32"/>
          <w:szCs w:val="32"/>
          <w14:textFill>
            <w14:solidFill>
              <w14:schemeClr w14:val="tx1"/>
            </w14:solidFill>
          </w14:textFill>
        </w:rPr>
      </w:pPr>
      <w:r>
        <w:rPr>
          <w:rFonts w:hint="eastAsia" w:ascii="黑体" w:hAnsi="黑体" w:eastAsia="黑体" w:cs="仿宋_GB2312"/>
          <w:bCs/>
          <w:color w:val="000000" w:themeColor="text1"/>
          <w:sz w:val="32"/>
          <w:szCs w:val="32"/>
          <w14:textFill>
            <w14:solidFill>
              <w14:schemeClr w14:val="tx1"/>
            </w14:solidFill>
          </w14:textFill>
        </w:rPr>
        <w:t>第二章  扶持条件与程序</w:t>
      </w:r>
    </w:p>
    <w:p>
      <w:pPr>
        <w:spacing w:line="580" w:lineRule="exact"/>
        <w:ind w:firstLine="643" w:firstLineChars="200"/>
        <w:rPr>
          <w:rFonts w:ascii="仿宋_GB2312" w:hAnsi="仿宋" w:eastAsia="仿宋_GB2312"/>
          <w:kern w:val="0"/>
          <w:sz w:val="32"/>
          <w:szCs w:val="32"/>
        </w:rPr>
      </w:pPr>
      <w:r>
        <w:rPr>
          <w:rFonts w:hint="eastAsia" w:ascii="仿宋_GB2312" w:hAnsi="仿宋" w:eastAsia="仿宋_GB2312" w:cs="仿宋_GB2312"/>
          <w:b/>
          <w:bCs/>
          <w:color w:val="000000" w:themeColor="text1"/>
          <w:sz w:val="32"/>
          <w:szCs w:val="32"/>
          <w14:textFill>
            <w14:solidFill>
              <w14:schemeClr w14:val="tx1"/>
            </w14:solidFill>
          </w14:textFill>
        </w:rPr>
        <w:t xml:space="preserve">第三条 </w:t>
      </w:r>
      <w:r>
        <w:rPr>
          <w:rFonts w:hint="eastAsia" w:ascii="仿宋_GB2312" w:hAnsi="仿宋" w:eastAsia="仿宋_GB2312" w:cs="仿宋_GB2312"/>
          <w:color w:val="000000" w:themeColor="text1"/>
          <w:sz w:val="32"/>
          <w:szCs w:val="32"/>
          <w14:textFill>
            <w14:solidFill>
              <w14:schemeClr w14:val="tx1"/>
            </w14:solidFill>
          </w14:textFill>
        </w:rPr>
        <w:t>申报单位财务管理制度健全、会计核算规范、财务状况良好、有明确可行及适应市场化竞争要求的运营管理体制</w:t>
      </w:r>
      <w:r>
        <w:rPr>
          <w:rFonts w:hint="eastAsia" w:ascii="仿宋_GB2312" w:hAnsi="仿宋" w:eastAsia="仿宋_GB2312"/>
          <w:kern w:val="0"/>
          <w:sz w:val="32"/>
          <w:szCs w:val="32"/>
        </w:rPr>
        <w:t>。</w:t>
      </w:r>
    </w:p>
    <w:p>
      <w:pPr>
        <w:spacing w:line="580" w:lineRule="exact"/>
        <w:ind w:firstLine="643" w:firstLineChars="200"/>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b/>
          <w:bCs/>
          <w:color w:val="000000" w:themeColor="text1"/>
          <w:sz w:val="32"/>
          <w:szCs w:val="32"/>
          <w14:textFill>
            <w14:solidFill>
              <w14:schemeClr w14:val="tx1"/>
            </w14:solidFill>
          </w14:textFill>
        </w:rPr>
        <w:t xml:space="preserve">第四条 </w:t>
      </w:r>
      <w:r>
        <w:rPr>
          <w:rFonts w:hint="eastAsia" w:ascii="仿宋_GB2312" w:hAnsi="仿宋" w:eastAsia="仿宋_GB2312" w:cs="仿宋_GB2312"/>
          <w:color w:val="000000" w:themeColor="text1"/>
          <w:sz w:val="32"/>
          <w:szCs w:val="32"/>
          <w14:textFill>
            <w14:solidFill>
              <w14:schemeClr w14:val="tx1"/>
            </w14:solidFill>
          </w14:textFill>
        </w:rPr>
        <w:t>申报项目符合法律法规、政策以及苏州市体育产业发展总体规划，能够引导社会资本进入电竞产业领域，</w:t>
      </w:r>
      <w:r>
        <w:rPr>
          <w:rFonts w:ascii="仿宋_GB2312" w:hAnsi="仿宋" w:eastAsia="仿宋_GB2312" w:cs="仿宋_GB2312"/>
          <w:color w:val="000000" w:themeColor="text1"/>
          <w:sz w:val="32"/>
          <w:szCs w:val="32"/>
          <w14:textFill>
            <w14:solidFill>
              <w14:schemeClr w14:val="tx1"/>
            </w14:solidFill>
          </w14:textFill>
        </w:rPr>
        <w:t>发展极具创意空间，对相关产业的</w:t>
      </w:r>
      <w:r>
        <w:fldChar w:fldCharType="begin"/>
      </w:r>
      <w:r>
        <w:instrText xml:space="preserve"> HYPERLINK "https://baike.so.com/doc/5336982-5572421.html" \t "https://baike.so.com/doc/_blank" </w:instrText>
      </w:r>
      <w:r>
        <w:fldChar w:fldCharType="separate"/>
      </w:r>
      <w:r>
        <w:rPr>
          <w:rFonts w:ascii="仿宋_GB2312" w:hAnsi="仿宋" w:eastAsia="仿宋_GB2312" w:cs="仿宋_GB2312"/>
          <w:color w:val="000000" w:themeColor="text1"/>
          <w:sz w:val="32"/>
          <w:szCs w:val="32"/>
          <w14:textFill>
            <w14:solidFill>
              <w14:schemeClr w14:val="tx1"/>
            </w14:solidFill>
          </w14:textFill>
        </w:rPr>
        <w:t>贡献率</w:t>
      </w:r>
      <w:r>
        <w:rPr>
          <w:rFonts w:ascii="仿宋_GB2312" w:hAnsi="仿宋" w:eastAsia="仿宋_GB2312" w:cs="仿宋_GB2312"/>
          <w:color w:val="000000" w:themeColor="text1"/>
          <w:sz w:val="32"/>
          <w:szCs w:val="32"/>
          <w14:textFill>
            <w14:solidFill>
              <w14:schemeClr w14:val="tx1"/>
            </w14:solidFill>
          </w14:textFill>
        </w:rPr>
        <w:fldChar w:fldCharType="end"/>
      </w:r>
      <w:r>
        <w:rPr>
          <w:rFonts w:ascii="仿宋_GB2312" w:hAnsi="仿宋" w:eastAsia="仿宋_GB2312" w:cs="仿宋_GB2312"/>
          <w:color w:val="000000" w:themeColor="text1"/>
          <w:sz w:val="32"/>
          <w:szCs w:val="32"/>
          <w14:textFill>
            <w14:solidFill>
              <w14:schemeClr w14:val="tx1"/>
            </w14:solidFill>
          </w14:textFill>
        </w:rPr>
        <w:t>大，</w:t>
      </w:r>
      <w:r>
        <w:rPr>
          <w:rFonts w:hint="eastAsia" w:ascii="仿宋_GB2312" w:hAnsi="仿宋" w:eastAsia="仿宋_GB2312" w:cs="仿宋_GB2312"/>
          <w:color w:val="000000" w:themeColor="text1"/>
          <w:sz w:val="32"/>
          <w:szCs w:val="32"/>
          <w14:textFill>
            <w14:solidFill>
              <w14:schemeClr w14:val="tx1"/>
            </w14:solidFill>
          </w14:textFill>
        </w:rPr>
        <w:t>能产生丰</w:t>
      </w:r>
      <w:r>
        <w:rPr>
          <w:rFonts w:ascii="仿宋_GB2312" w:hAnsi="仿宋" w:eastAsia="仿宋_GB2312" w:cs="仿宋_GB2312"/>
          <w:color w:val="000000" w:themeColor="text1"/>
          <w:sz w:val="32"/>
          <w:szCs w:val="32"/>
          <w14:textFill>
            <w14:solidFill>
              <w14:schemeClr w14:val="tx1"/>
            </w14:solidFill>
          </w14:textFill>
        </w:rPr>
        <w:t>厚</w:t>
      </w:r>
      <w:r>
        <w:fldChar w:fldCharType="begin"/>
      </w:r>
      <w:r>
        <w:instrText xml:space="preserve"> HYPERLINK "https://baike.so.com/doc/1460070-1543714.html" \t "https://baike.so.com/doc/_blank" </w:instrText>
      </w:r>
      <w:r>
        <w:fldChar w:fldCharType="separate"/>
      </w:r>
      <w:r>
        <w:rPr>
          <w:rFonts w:ascii="仿宋_GB2312" w:hAnsi="仿宋" w:eastAsia="仿宋_GB2312" w:cs="仿宋_GB2312"/>
          <w:color w:val="000000" w:themeColor="text1"/>
          <w:sz w:val="32"/>
          <w:szCs w:val="32"/>
          <w14:textFill>
            <w14:solidFill>
              <w14:schemeClr w14:val="tx1"/>
            </w14:solidFill>
          </w14:textFill>
        </w:rPr>
        <w:t>经济效益</w:t>
      </w:r>
      <w:r>
        <w:rPr>
          <w:rFonts w:ascii="仿宋_GB2312" w:hAnsi="仿宋" w:eastAsia="仿宋_GB2312" w:cs="仿宋_GB2312"/>
          <w:color w:val="000000" w:themeColor="text1"/>
          <w:sz w:val="32"/>
          <w:szCs w:val="32"/>
          <w14:textFill>
            <w14:solidFill>
              <w14:schemeClr w14:val="tx1"/>
            </w14:solidFill>
          </w14:textFill>
        </w:rPr>
        <w:fldChar w:fldCharType="end"/>
      </w:r>
      <w:r>
        <w:rPr>
          <w:rFonts w:hint="eastAsia" w:ascii="仿宋_GB2312" w:hAnsi="仿宋" w:eastAsia="仿宋_GB2312" w:cs="仿宋_GB2312"/>
          <w:color w:val="000000" w:themeColor="text1"/>
          <w:sz w:val="32"/>
          <w:szCs w:val="32"/>
          <w14:textFill>
            <w14:solidFill>
              <w14:schemeClr w14:val="tx1"/>
            </w14:solidFill>
          </w14:textFill>
        </w:rPr>
        <w:t>，按要求提供财务资料。</w:t>
      </w:r>
    </w:p>
    <w:p>
      <w:pPr>
        <w:spacing w:line="580" w:lineRule="exact"/>
        <w:ind w:firstLine="643" w:firstLineChars="200"/>
        <w:rPr>
          <w:rFonts w:hint="eastAsia" w:ascii="仿宋_GB2312" w:hAnsi="仿宋" w:eastAsia="仿宋_GB2312" w:cs="仿宋_GB2312"/>
          <w:bCs/>
          <w:color w:val="000000" w:themeColor="text1"/>
          <w:sz w:val="32"/>
          <w:szCs w:val="32"/>
          <w14:textFill>
            <w14:solidFill>
              <w14:schemeClr w14:val="tx1"/>
            </w14:solidFill>
          </w14:textFill>
        </w:rPr>
      </w:pPr>
      <w:r>
        <w:rPr>
          <w:rFonts w:hint="eastAsia" w:ascii="仿宋_GB2312" w:hAnsi="仿宋" w:eastAsia="仿宋_GB2312" w:cs="仿宋_GB2312"/>
          <w:b/>
          <w:bCs/>
          <w:color w:val="000000" w:themeColor="text1"/>
          <w:sz w:val="32"/>
          <w:szCs w:val="32"/>
          <w14:textFill>
            <w14:solidFill>
              <w14:schemeClr w14:val="tx1"/>
            </w14:solidFill>
          </w14:textFill>
        </w:rPr>
        <w:t xml:space="preserve">第五条 </w:t>
      </w:r>
      <w:r>
        <w:rPr>
          <w:rFonts w:hint="eastAsia" w:ascii="仿宋_GB2312" w:hAnsi="仿宋" w:eastAsia="仿宋_GB2312" w:cs="仿宋_GB2312"/>
          <w:bCs/>
          <w:color w:val="000000" w:themeColor="text1"/>
          <w:sz w:val="32"/>
          <w:szCs w:val="32"/>
          <w14:textFill>
            <w14:solidFill>
              <w14:schemeClr w14:val="tx1"/>
            </w14:solidFill>
          </w14:textFill>
        </w:rPr>
        <w:t>经市级体育部门备案过的电竞赛事，方可申请</w:t>
      </w:r>
      <w:r>
        <w:rPr>
          <w:rFonts w:hint="eastAsia" w:ascii="仿宋_GB2312" w:hAnsi="仿宋" w:eastAsia="仿宋_GB2312" w:cs="仿宋_GB2312"/>
          <w:color w:val="000000" w:themeColor="text1"/>
          <w:sz w:val="32"/>
          <w:szCs w:val="32"/>
          <w14:textFill>
            <w14:solidFill>
              <w14:schemeClr w14:val="tx1"/>
            </w14:solidFill>
          </w14:textFill>
        </w:rPr>
        <w:t>本实施细则的</w:t>
      </w:r>
      <w:r>
        <w:rPr>
          <w:rFonts w:hint="eastAsia" w:ascii="仿宋_GB2312" w:hAnsi="仿宋" w:eastAsia="仿宋_GB2312" w:cs="仿宋_GB2312"/>
          <w:bCs/>
          <w:color w:val="000000" w:themeColor="text1"/>
          <w:sz w:val="32"/>
          <w:szCs w:val="32"/>
          <w14:textFill>
            <w14:solidFill>
              <w14:schemeClr w14:val="tx1"/>
            </w14:solidFill>
          </w14:textFill>
        </w:rPr>
        <w:t>电竞赛事补助。</w:t>
      </w:r>
    </w:p>
    <w:p>
      <w:pPr>
        <w:spacing w:line="580" w:lineRule="exact"/>
        <w:ind w:firstLine="643" w:firstLineChars="200"/>
        <w:rPr>
          <w:rFonts w:hint="default" w:ascii="仿宋_GB2312" w:hAnsi="仿宋" w:eastAsia="仿宋_GB2312" w:cs="仿宋_GB2312"/>
          <w:bCs/>
          <w:color w:val="000000" w:themeColor="text1"/>
          <w:sz w:val="32"/>
          <w:szCs w:val="32"/>
          <w:lang w:val="en-US" w:eastAsia="zh-CN"/>
          <w14:textFill>
            <w14:solidFill>
              <w14:schemeClr w14:val="tx1"/>
            </w14:solidFill>
          </w14:textFill>
        </w:rPr>
      </w:pPr>
      <w:r>
        <w:rPr>
          <w:rFonts w:hint="eastAsia" w:ascii="仿宋_GB2312" w:hAnsi="仿宋" w:eastAsia="仿宋_GB2312" w:cs="仿宋_GB2312"/>
          <w:b/>
          <w:bCs/>
          <w:color w:val="000000" w:themeColor="text1"/>
          <w:kern w:val="2"/>
          <w:sz w:val="32"/>
          <w:szCs w:val="32"/>
          <w14:textFill>
            <w14:solidFill>
              <w14:schemeClr w14:val="tx1"/>
            </w14:solidFill>
          </w14:textFill>
        </w:rPr>
        <w:t>第六条</w:t>
      </w:r>
      <w:r>
        <w:rPr>
          <w:rFonts w:hint="eastAsia" w:ascii="仿宋_GB2312" w:hAnsi="仿宋" w:eastAsia="仿宋_GB2312" w:cs="仿宋_GB2312"/>
          <w:b/>
          <w:bCs/>
          <w:color w:val="000000" w:themeColor="text1"/>
          <w:kern w:val="2"/>
          <w:sz w:val="32"/>
          <w:szCs w:val="32"/>
          <w:lang w:val="en-US" w:eastAsia="zh-CN"/>
          <w14:textFill>
            <w14:solidFill>
              <w14:schemeClr w14:val="tx1"/>
            </w14:solidFill>
          </w14:textFill>
        </w:rPr>
        <w:t xml:space="preserve"> </w:t>
      </w:r>
      <w:r>
        <w:rPr>
          <w:rFonts w:hint="eastAsia" w:ascii="仿宋_GB2312" w:hAnsi="仿宋" w:eastAsia="仿宋_GB2312" w:cs="仿宋_GB2312"/>
          <w:bCs/>
          <w:color w:val="000000" w:themeColor="text1"/>
          <w:sz w:val="32"/>
          <w:szCs w:val="32"/>
          <w:lang w:eastAsia="zh-CN"/>
          <w14:textFill>
            <w14:solidFill>
              <w14:schemeClr w14:val="tx1"/>
            </w14:solidFill>
          </w14:textFill>
        </w:rPr>
        <w:t>当年度申报通知规定的其他条件。</w:t>
      </w:r>
    </w:p>
    <w:p>
      <w:pPr>
        <w:spacing w:line="580" w:lineRule="exact"/>
        <w:ind w:firstLine="643" w:firstLineChars="200"/>
        <w:rPr>
          <w:rFonts w:hint="eastAsia" w:ascii="仿宋_GB2312" w:hAnsi="仿宋" w:eastAsia="仿宋_GB2312" w:cs="仿宋_GB2312"/>
          <w:bCs/>
          <w:color w:val="000000" w:themeColor="text1"/>
          <w:kern w:val="2"/>
          <w:sz w:val="32"/>
          <w:szCs w:val="32"/>
          <w14:textFill>
            <w14:solidFill>
              <w14:schemeClr w14:val="tx1"/>
            </w14:solidFill>
          </w14:textFill>
        </w:rPr>
      </w:pPr>
      <w:r>
        <w:rPr>
          <w:rFonts w:hint="eastAsia" w:ascii="仿宋_GB2312" w:hAnsi="仿宋" w:eastAsia="仿宋_GB2312" w:cs="仿宋_GB2312"/>
          <w:b/>
          <w:bCs/>
          <w:color w:val="000000" w:themeColor="text1"/>
          <w:kern w:val="2"/>
          <w:sz w:val="32"/>
          <w:szCs w:val="32"/>
          <w14:textFill>
            <w14:solidFill>
              <w14:schemeClr w14:val="tx1"/>
            </w14:solidFill>
          </w14:textFill>
        </w:rPr>
        <w:t>第</w:t>
      </w:r>
      <w:r>
        <w:rPr>
          <w:rFonts w:hint="eastAsia" w:ascii="仿宋_GB2312" w:hAnsi="仿宋" w:eastAsia="仿宋_GB2312" w:cs="仿宋_GB2312"/>
          <w:b/>
          <w:bCs/>
          <w:color w:val="000000" w:themeColor="text1"/>
          <w:kern w:val="2"/>
          <w:sz w:val="32"/>
          <w:szCs w:val="32"/>
          <w:lang w:eastAsia="zh-CN"/>
          <w14:textFill>
            <w14:solidFill>
              <w14:schemeClr w14:val="tx1"/>
            </w14:solidFill>
          </w14:textFill>
        </w:rPr>
        <w:t>七</w:t>
      </w:r>
      <w:r>
        <w:rPr>
          <w:rFonts w:hint="eastAsia" w:ascii="仿宋_GB2312" w:hAnsi="仿宋" w:eastAsia="仿宋_GB2312" w:cs="仿宋_GB2312"/>
          <w:b/>
          <w:bCs/>
          <w:color w:val="000000" w:themeColor="text1"/>
          <w:kern w:val="2"/>
          <w:sz w:val="32"/>
          <w:szCs w:val="32"/>
          <w14:textFill>
            <w14:solidFill>
              <w14:schemeClr w14:val="tx1"/>
            </w14:solidFill>
          </w14:textFill>
        </w:rPr>
        <w:t>条</w:t>
      </w:r>
      <w:r>
        <w:rPr>
          <w:rFonts w:hint="eastAsia" w:ascii="仿宋_GB2312" w:hAnsi="仿宋" w:eastAsia="仿宋_GB2312" w:cs="仿宋_GB2312"/>
          <w:b/>
          <w:bCs/>
          <w:color w:val="000000" w:themeColor="text1"/>
          <w:sz w:val="32"/>
          <w:szCs w:val="32"/>
          <w14:textFill>
            <w14:solidFill>
              <w14:schemeClr w14:val="tx1"/>
            </w14:solidFill>
          </w14:textFill>
        </w:rPr>
        <w:t xml:space="preserve"> </w:t>
      </w:r>
      <w:bookmarkStart w:id="0" w:name="_GoBack"/>
      <w:r>
        <w:rPr>
          <w:rFonts w:hint="eastAsia" w:ascii="仿宋_GB2312" w:hAnsi="仿宋" w:eastAsia="仿宋_GB2312" w:cs="仿宋_GB2312"/>
          <w:b w:val="0"/>
          <w:bCs/>
          <w:color w:val="000000" w:themeColor="text1"/>
          <w:kern w:val="2"/>
          <w:sz w:val="32"/>
          <w:szCs w:val="32"/>
          <w14:textFill>
            <w14:solidFill>
              <w14:schemeClr w14:val="tx1"/>
            </w14:solidFill>
          </w14:textFill>
        </w:rPr>
        <w:t>电竞产业项目申报程序如下</w:t>
      </w:r>
      <w:r>
        <w:rPr>
          <w:rFonts w:hint="eastAsia" w:ascii="仿宋_GB2312" w:hAnsi="仿宋" w:eastAsia="仿宋_GB2312" w:cs="仿宋_GB2312"/>
          <w:bCs/>
          <w:color w:val="000000" w:themeColor="text1"/>
          <w:kern w:val="2"/>
          <w:sz w:val="32"/>
          <w:szCs w:val="32"/>
          <w14:textFill>
            <w14:solidFill>
              <w14:schemeClr w14:val="tx1"/>
            </w14:solidFill>
          </w14:textFill>
        </w:rPr>
        <w:t>：</w:t>
      </w:r>
    </w:p>
    <w:bookmarkEnd w:id="0"/>
    <w:p>
      <w:pPr>
        <w:spacing w:line="580" w:lineRule="exact"/>
        <w:ind w:firstLine="640" w:firstLineChars="200"/>
        <w:rPr>
          <w:rFonts w:hint="eastAsia" w:ascii="仿宋_GB2312" w:hAnsi="仿宋" w:eastAsia="仿宋_GB2312" w:cs="仿宋_GB2312"/>
          <w:bCs/>
          <w:color w:val="000000" w:themeColor="text1"/>
          <w:sz w:val="32"/>
          <w:szCs w:val="32"/>
          <w:lang w:eastAsia="zh-CN"/>
          <w14:textFill>
            <w14:solidFill>
              <w14:schemeClr w14:val="tx1"/>
            </w14:solidFill>
          </w14:textFill>
        </w:rPr>
      </w:pPr>
      <w:r>
        <w:rPr>
          <w:rFonts w:hint="eastAsia" w:ascii="仿宋_GB2312" w:hAnsi="仿宋" w:eastAsia="仿宋_GB2312" w:cs="仿宋_GB2312"/>
          <w:bCs/>
          <w:color w:val="000000" w:themeColor="text1"/>
          <w:sz w:val="32"/>
          <w:szCs w:val="32"/>
          <w14:textFill>
            <w14:solidFill>
              <w14:schemeClr w14:val="tx1"/>
            </w14:solidFill>
          </w14:textFill>
        </w:rPr>
        <w:t>（一）企业申报。市体育局每年发布年度电竞产业项目申报通知。申报单位本着自愿的原则，对照申报条件向所在各市</w:t>
      </w:r>
      <w:r>
        <w:rPr>
          <w:rFonts w:hint="eastAsia" w:ascii="仿宋_GB2312" w:hAnsi="仿宋" w:eastAsia="仿宋_GB2312" w:cs="仿宋_GB2312"/>
          <w:color w:val="000000" w:themeColor="text1"/>
          <w:sz w:val="32"/>
          <w:szCs w:val="32"/>
          <w:lang w:eastAsia="zh-CN"/>
          <w14:textFill>
            <w14:solidFill>
              <w14:schemeClr w14:val="tx1"/>
            </w14:solidFill>
          </w14:textFill>
        </w:rPr>
        <w:t>（县）</w:t>
      </w:r>
      <w:r>
        <w:rPr>
          <w:rFonts w:hint="eastAsia" w:ascii="仿宋_GB2312" w:hAnsi="仿宋" w:eastAsia="仿宋_GB2312" w:cs="仿宋_GB2312"/>
          <w:bCs/>
          <w:color w:val="000000" w:themeColor="text1"/>
          <w:sz w:val="32"/>
          <w:szCs w:val="32"/>
          <w14:textFill>
            <w14:solidFill>
              <w14:schemeClr w14:val="tx1"/>
            </w14:solidFill>
          </w14:textFill>
        </w:rPr>
        <w:t>、区体育部门提出申请，并提交</w:t>
      </w:r>
      <w:r>
        <w:rPr>
          <w:rFonts w:hint="eastAsia" w:ascii="仿宋_GB2312" w:hAnsi="仿宋" w:eastAsia="仿宋_GB2312" w:cs="仿宋_GB2312"/>
          <w:bCs/>
          <w:color w:val="000000" w:themeColor="text1"/>
          <w:sz w:val="32"/>
          <w:szCs w:val="32"/>
          <w:lang w:eastAsia="zh-CN"/>
          <w14:textFill>
            <w14:solidFill>
              <w14:schemeClr w14:val="tx1"/>
            </w14:solidFill>
          </w14:textFill>
        </w:rPr>
        <w:t>当年度申报通知规定的相关</w:t>
      </w:r>
      <w:r>
        <w:rPr>
          <w:rFonts w:hint="eastAsia" w:ascii="仿宋_GB2312" w:hAnsi="仿宋" w:eastAsia="仿宋_GB2312" w:cs="仿宋_GB2312"/>
          <w:bCs/>
          <w:color w:val="000000" w:themeColor="text1"/>
          <w:sz w:val="32"/>
          <w:szCs w:val="32"/>
          <w14:textFill>
            <w14:solidFill>
              <w14:schemeClr w14:val="tx1"/>
            </w14:solidFill>
          </w14:textFill>
        </w:rPr>
        <w:t>材料</w:t>
      </w:r>
      <w:r>
        <w:rPr>
          <w:rFonts w:hint="eastAsia" w:ascii="仿宋_GB2312" w:hAnsi="仿宋" w:eastAsia="仿宋_GB2312" w:cs="仿宋_GB2312"/>
          <w:bCs/>
          <w:color w:val="000000" w:themeColor="text1"/>
          <w:sz w:val="32"/>
          <w:szCs w:val="32"/>
          <w:lang w:val="en-US" w:eastAsia="zh-CN"/>
          <w14:textFill>
            <w14:solidFill>
              <w14:schemeClr w14:val="tx1"/>
            </w14:solidFill>
          </w14:textFill>
        </w:rPr>
        <w:t>。</w:t>
      </w:r>
    </w:p>
    <w:p>
      <w:pPr>
        <w:spacing w:line="580" w:lineRule="exact"/>
        <w:ind w:firstLine="640" w:firstLineChars="200"/>
        <w:rPr>
          <w:rFonts w:hint="eastAsia" w:ascii="仿宋_GB2312" w:hAnsi="仿宋" w:eastAsia="仿宋_GB2312"/>
          <w:kern w:val="0"/>
          <w:sz w:val="32"/>
          <w:szCs w:val="32"/>
        </w:rPr>
      </w:pPr>
      <w:r>
        <w:rPr>
          <w:rFonts w:hint="eastAsia" w:ascii="仿宋_GB2312" w:hAnsi="仿宋" w:eastAsia="仿宋_GB2312" w:cs="Calibri"/>
          <w:bCs w:val="0"/>
          <w:color w:val="auto"/>
          <w:kern w:val="0"/>
          <w:sz w:val="32"/>
          <w:szCs w:val="32"/>
        </w:rPr>
        <w:t>（二）</w:t>
      </w:r>
      <w:r>
        <w:rPr>
          <w:rFonts w:hint="eastAsia" w:ascii="仿宋_GB2312" w:hAnsi="仿宋" w:eastAsia="仿宋_GB2312"/>
          <w:kern w:val="0"/>
          <w:sz w:val="32"/>
          <w:szCs w:val="32"/>
        </w:rPr>
        <w:t>项目评审及公示</w:t>
      </w:r>
    </w:p>
    <w:p>
      <w:pPr>
        <w:spacing w:line="580" w:lineRule="exact"/>
        <w:ind w:firstLine="640" w:firstLineChars="200"/>
        <w:rPr>
          <w:rFonts w:ascii="仿宋_GB2312" w:hAnsi="仿宋" w:eastAsia="仿宋_GB2312" w:cs="Calibri"/>
          <w:color w:val="auto"/>
          <w:kern w:val="0"/>
          <w:sz w:val="32"/>
          <w:szCs w:val="32"/>
        </w:rPr>
      </w:pPr>
      <w:r>
        <w:rPr>
          <w:rFonts w:hint="eastAsia" w:ascii="仿宋_GB2312" w:hAnsi="仿宋" w:eastAsia="仿宋_GB2312"/>
          <w:kern w:val="0"/>
          <w:sz w:val="32"/>
          <w:szCs w:val="32"/>
        </w:rPr>
        <w:t>1.</w:t>
      </w:r>
      <w:r>
        <w:rPr>
          <w:rFonts w:hint="eastAsia" w:ascii="仿宋_GB2312" w:hAnsi="仿宋" w:eastAsia="仿宋_GB2312" w:cs="Calibri"/>
          <w:bCs w:val="0"/>
          <w:color w:val="auto"/>
          <w:kern w:val="0"/>
          <w:sz w:val="32"/>
          <w:szCs w:val="32"/>
        </w:rPr>
        <w:t>建立专家评审机制和联席会议制度。充分发挥市电竞运动协会作用，组建苏州市电竞产业专家库，成立苏州市电竞产业专家咨询委员会，</w:t>
      </w:r>
      <w:r>
        <w:rPr>
          <w:rFonts w:hint="eastAsia" w:ascii="仿宋_GB2312" w:hAnsi="仿宋" w:eastAsia="仿宋_GB2312"/>
          <w:kern w:val="0"/>
          <w:sz w:val="32"/>
          <w:szCs w:val="32"/>
        </w:rPr>
        <w:t>参与</w:t>
      </w:r>
      <w:r>
        <w:rPr>
          <w:rFonts w:hint="eastAsia" w:ascii="仿宋_GB2312" w:hAnsi="仿宋" w:eastAsia="仿宋_GB2312" w:cs="Calibri"/>
          <w:bCs w:val="0"/>
          <w:color w:val="auto"/>
          <w:kern w:val="0"/>
          <w:sz w:val="32"/>
          <w:szCs w:val="32"/>
        </w:rPr>
        <w:t>电竞企业、赛事活动、项目相关评判标准或规模、等级认定等工作，参加电竞产业扶持专项资金项目评审</w:t>
      </w:r>
      <w:r>
        <w:rPr>
          <w:rFonts w:hint="eastAsia" w:ascii="仿宋_GB2312" w:hAnsi="仿宋" w:eastAsia="仿宋_GB2312" w:cs="Calibri"/>
          <w:bCs w:val="0"/>
          <w:color w:val="auto"/>
          <w:kern w:val="0"/>
          <w:sz w:val="32"/>
          <w:szCs w:val="32"/>
          <w:lang w:eastAsia="zh-CN"/>
        </w:rPr>
        <w:t>（包括社会信用审查、专家评审、实地考察、会商、审定）</w:t>
      </w:r>
      <w:r>
        <w:rPr>
          <w:rFonts w:hint="eastAsia" w:ascii="仿宋_GB2312" w:hAnsi="仿宋" w:eastAsia="仿宋_GB2312" w:cs="Calibri"/>
          <w:bCs w:val="0"/>
          <w:color w:val="auto"/>
          <w:kern w:val="0"/>
          <w:sz w:val="32"/>
          <w:szCs w:val="32"/>
        </w:rPr>
        <w:t>。建立电竞</w:t>
      </w:r>
      <w:r>
        <w:rPr>
          <w:rFonts w:hint="eastAsia" w:ascii="仿宋_GB2312" w:hAnsi="仿宋" w:eastAsia="仿宋_GB2312"/>
          <w:kern w:val="0"/>
          <w:sz w:val="32"/>
          <w:szCs w:val="32"/>
        </w:rPr>
        <w:t>重大</w:t>
      </w:r>
      <w:r>
        <w:rPr>
          <w:rFonts w:hint="eastAsia" w:ascii="仿宋_GB2312" w:hAnsi="仿宋" w:eastAsia="仿宋_GB2312" w:cs="Calibri"/>
          <w:bCs w:val="0"/>
          <w:color w:val="auto"/>
          <w:kern w:val="0"/>
          <w:sz w:val="32"/>
          <w:szCs w:val="32"/>
        </w:rPr>
        <w:t>项目联席会议制度</w:t>
      </w:r>
      <w:r>
        <w:rPr>
          <w:rFonts w:ascii="仿宋_GB2312" w:hAnsi="仿宋" w:eastAsia="仿宋_GB2312" w:cs="Calibri"/>
          <w:color w:val="auto"/>
          <w:kern w:val="0"/>
          <w:sz w:val="32"/>
          <w:szCs w:val="32"/>
        </w:rPr>
        <w:t>,联席会议根据工作需要不定期召开。</w:t>
      </w:r>
    </w:p>
    <w:p>
      <w:pPr>
        <w:spacing w:line="580" w:lineRule="exact"/>
        <w:ind w:firstLine="640" w:firstLineChars="200"/>
        <w:rPr>
          <w:rFonts w:hint="default" w:ascii="仿宋_GB2312" w:hAnsi="宋体" w:eastAsia="仿宋_GB2312" w:cs="仿宋_GB2312"/>
          <w:color w:val="000000"/>
          <w:kern w:val="0"/>
          <w:sz w:val="31"/>
          <w:szCs w:val="31"/>
          <w:lang w:val="en-US" w:eastAsia="zh-CN"/>
        </w:rPr>
      </w:pPr>
      <w:r>
        <w:rPr>
          <w:rFonts w:hint="eastAsia" w:ascii="仿宋_GB2312" w:hAnsi="仿宋" w:eastAsia="仿宋_GB2312"/>
          <w:kern w:val="0"/>
          <w:sz w:val="32"/>
          <w:szCs w:val="32"/>
        </w:rPr>
        <w:t>2.</w:t>
      </w:r>
      <w:r>
        <w:rPr>
          <w:rFonts w:hint="eastAsia" w:ascii="仿宋_GB2312" w:hAnsi="仿宋" w:eastAsia="仿宋_GB2312" w:cs="Calibri"/>
          <w:color w:val="auto"/>
          <w:kern w:val="0"/>
          <w:sz w:val="32"/>
          <w:szCs w:val="32"/>
        </w:rPr>
        <w:t>经公示无异议的项目，由市体育局与获</w:t>
      </w:r>
      <w:r>
        <w:rPr>
          <w:rFonts w:hint="eastAsia" w:ascii="仿宋_GB2312" w:hAnsi="仿宋" w:eastAsia="仿宋_GB2312" w:cs="仿宋_GB2312"/>
          <w:color w:val="000000" w:themeColor="text1"/>
          <w:sz w:val="32"/>
          <w:szCs w:val="32"/>
          <w14:textFill>
            <w14:solidFill>
              <w14:schemeClr w14:val="tx1"/>
            </w14:solidFill>
          </w14:textFill>
        </w:rPr>
        <w:t>支持项目的申报单位签订“奖励补助”合同，会同市财政局联合发文后，市财政局下达经费指标。</w:t>
      </w:r>
      <w:r>
        <w:rPr>
          <w:rFonts w:hint="eastAsia" w:ascii="仿宋_GB2312" w:hAnsi="仿宋" w:eastAsia="仿宋_GB2312" w:cs="仿宋_GB2312"/>
          <w:color w:val="000000" w:themeColor="text1"/>
          <w:sz w:val="32"/>
          <w:szCs w:val="32"/>
          <w:lang w:eastAsia="zh-CN"/>
          <w14:textFill>
            <w14:solidFill>
              <w14:schemeClr w14:val="tx1"/>
            </w14:solidFill>
          </w14:textFill>
        </w:rPr>
        <w:t>市（县）、</w:t>
      </w:r>
      <w:r>
        <w:rPr>
          <w:rFonts w:hint="eastAsia" w:ascii="仿宋_GB2312" w:hAnsi="仿宋" w:eastAsia="仿宋_GB2312" w:cs="仿宋_GB2312"/>
          <w:color w:val="000000" w:themeColor="text1"/>
          <w:sz w:val="32"/>
          <w:szCs w:val="32"/>
          <w14:textFill>
            <w14:solidFill>
              <w14:schemeClr w14:val="tx1"/>
            </w14:solidFill>
          </w14:textFill>
        </w:rPr>
        <w:t>区属单位由各区财政局会同体育行政主管部门在收到市下达经费指标文件后按相关规定要求及时拨付资金；市属单位由市体育局在收到下达经费指标文件后按国库管理规定及时支付经费。</w:t>
      </w:r>
    </w:p>
    <w:p>
      <w:pPr>
        <w:spacing w:line="580" w:lineRule="exact"/>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s="仿宋_GB2312"/>
          <w:b/>
          <w:bCs/>
          <w:color w:val="000000" w:themeColor="text1"/>
          <w:kern w:val="2"/>
          <w:sz w:val="32"/>
          <w:szCs w:val="32"/>
          <w14:textFill>
            <w14:solidFill>
              <w14:schemeClr w14:val="tx1"/>
            </w14:solidFill>
          </w14:textFill>
        </w:rPr>
        <w:t>第</w:t>
      </w:r>
      <w:r>
        <w:rPr>
          <w:rFonts w:hint="eastAsia" w:ascii="仿宋_GB2312" w:hAnsi="仿宋" w:eastAsia="仿宋_GB2312" w:cs="仿宋_GB2312"/>
          <w:b/>
          <w:bCs/>
          <w:color w:val="000000" w:themeColor="text1"/>
          <w:kern w:val="2"/>
          <w:sz w:val="32"/>
          <w:szCs w:val="32"/>
          <w:lang w:eastAsia="zh-CN"/>
          <w14:textFill>
            <w14:solidFill>
              <w14:schemeClr w14:val="tx1"/>
            </w14:solidFill>
          </w14:textFill>
        </w:rPr>
        <w:t>八</w:t>
      </w:r>
      <w:r>
        <w:rPr>
          <w:rFonts w:hint="eastAsia" w:ascii="仿宋_GB2312" w:hAnsi="仿宋" w:eastAsia="仿宋_GB2312" w:cs="仿宋_GB2312"/>
          <w:b/>
          <w:bCs/>
          <w:color w:val="000000" w:themeColor="text1"/>
          <w:kern w:val="2"/>
          <w:sz w:val="32"/>
          <w:szCs w:val="32"/>
          <w14:textFill>
            <w14:solidFill>
              <w14:schemeClr w14:val="tx1"/>
            </w14:solidFill>
          </w14:textFill>
        </w:rPr>
        <w:t>条</w:t>
      </w:r>
      <w:r>
        <w:rPr>
          <w:rFonts w:hint="eastAsia" w:ascii="仿宋_GB2312" w:hAnsi="仿宋" w:eastAsia="仿宋_GB2312" w:cs="仿宋_GB2312"/>
          <w:b/>
          <w:bCs/>
          <w:color w:val="000000" w:themeColor="text1"/>
          <w:sz w:val="32"/>
          <w:szCs w:val="32"/>
          <w14:textFill>
            <w14:solidFill>
              <w14:schemeClr w14:val="tx1"/>
            </w14:solidFill>
          </w14:textFill>
        </w:rPr>
        <w:t xml:space="preserve"> </w:t>
      </w:r>
      <w:r>
        <w:rPr>
          <w:rFonts w:hint="eastAsia" w:ascii="仿宋_GB2312" w:hAnsi="仿宋" w:eastAsia="仿宋_GB2312" w:cs="仿宋_GB2312"/>
          <w:color w:val="000000" w:themeColor="text1"/>
          <w:sz w:val="32"/>
          <w:szCs w:val="32"/>
          <w14:textFill>
            <w14:solidFill>
              <w14:schemeClr w14:val="tx1"/>
            </w14:solidFill>
          </w14:textFill>
        </w:rPr>
        <w:t>有下列情形的项目，不予支持：</w:t>
      </w:r>
    </w:p>
    <w:p>
      <w:pPr>
        <w:spacing w:line="58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（一）知识产权、所有权、承办权等有争议的；</w:t>
      </w:r>
    </w:p>
    <w:p>
      <w:pPr>
        <w:spacing w:line="580" w:lineRule="exact"/>
        <w:ind w:firstLine="640" w:firstLineChars="200"/>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（二）经国家、省、市公共信用信息系统信用审查，项目单位存在严重或较严重失信行为的；</w:t>
      </w:r>
    </w:p>
    <w:p>
      <w:pPr>
        <w:spacing w:line="580" w:lineRule="exact"/>
        <w:ind w:firstLine="640" w:firstLineChars="200"/>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（三）项目资金来源全部为财政性资金的；</w:t>
      </w:r>
    </w:p>
    <w:p>
      <w:pPr>
        <w:spacing w:line="580" w:lineRule="exact"/>
        <w:ind w:firstLine="640" w:firstLineChars="200"/>
        <w:rPr>
          <w:rFonts w:hint="eastAsia"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（四）同一主体同一项目已获得市级财政其它资金支持的</w:t>
      </w:r>
      <w:r>
        <w:rPr>
          <w:rFonts w:hint="eastAsia" w:ascii="仿宋_GB2312" w:hAnsi="宋体" w:eastAsia="仿宋_GB2312" w:cs="仿宋_GB2312"/>
          <w:color w:val="000000"/>
          <w:kern w:val="0"/>
          <w:sz w:val="31"/>
          <w:szCs w:val="31"/>
        </w:rPr>
        <w:t>，按就高不重复原则；</w:t>
      </w:r>
    </w:p>
    <w:p>
      <w:pPr>
        <w:spacing w:line="580" w:lineRule="exact"/>
        <w:ind w:firstLine="640" w:firstLineChars="200"/>
        <w:rPr>
          <w:rFonts w:ascii="仿宋_GB2312" w:hAnsi="宋体" w:eastAsia="仿宋_GB2312" w:cs="仿宋_GB2312"/>
          <w:color w:val="000000"/>
          <w:kern w:val="0"/>
          <w:sz w:val="31"/>
          <w:szCs w:val="31"/>
        </w:rPr>
      </w:pPr>
      <w:r>
        <w:rPr>
          <w:rFonts w:hint="eastAsia" w:ascii="仿宋_GB2312" w:hAnsi="仿宋" w:eastAsia="仿宋_GB2312" w:cs="仿宋_GB2312"/>
          <w:color w:val="000000" w:themeColor="text1"/>
          <w:sz w:val="32"/>
          <w:szCs w:val="32"/>
          <w14:textFill>
            <w14:solidFill>
              <w14:schemeClr w14:val="tx1"/>
            </w14:solidFill>
          </w14:textFill>
        </w:rPr>
        <w:t>（五）其他法律法规、政策规定不予支持的项目。</w:t>
      </w:r>
    </w:p>
    <w:p>
      <w:pPr>
        <w:spacing w:line="580" w:lineRule="exact"/>
        <w:ind w:firstLine="640" w:firstLineChars="200"/>
        <w:rPr>
          <w:rFonts w:ascii="仿宋_GB2312" w:hAnsi="仿宋" w:eastAsia="仿宋_GB2312" w:cs="仿宋_GB2312"/>
          <w:color w:val="000000" w:themeColor="text1"/>
          <w:sz w:val="32"/>
          <w:szCs w:val="32"/>
          <w14:textFill>
            <w14:solidFill>
              <w14:schemeClr w14:val="tx1"/>
            </w14:solidFill>
          </w14:textFill>
        </w:rPr>
      </w:pPr>
    </w:p>
    <w:p>
      <w:pPr>
        <w:pStyle w:val="7"/>
        <w:widowControl/>
        <w:spacing w:line="580" w:lineRule="exact"/>
        <w:ind w:firstLine="640" w:firstLineChars="200"/>
        <w:jc w:val="center"/>
        <w:rPr>
          <w:rFonts w:ascii="黑体" w:hAnsi="黑体" w:eastAsia="黑体" w:cs="仿宋_GB2312"/>
          <w:bCs/>
          <w:color w:val="000000" w:themeColor="text1"/>
          <w:sz w:val="32"/>
          <w:szCs w:val="32"/>
          <w14:textFill>
            <w14:solidFill>
              <w14:schemeClr w14:val="tx1"/>
            </w14:solidFill>
          </w14:textFill>
        </w:rPr>
      </w:pPr>
      <w:r>
        <w:rPr>
          <w:rFonts w:hint="eastAsia" w:ascii="黑体" w:hAnsi="黑体" w:eastAsia="黑体" w:cs="仿宋_GB2312"/>
          <w:bCs/>
          <w:color w:val="000000" w:themeColor="text1"/>
          <w:sz w:val="32"/>
          <w:szCs w:val="32"/>
          <w14:textFill>
            <w14:solidFill>
              <w14:schemeClr w14:val="tx1"/>
            </w14:solidFill>
          </w14:textFill>
        </w:rPr>
        <w:t>第三章  扶持方式和标准</w:t>
      </w:r>
    </w:p>
    <w:p>
      <w:pPr>
        <w:pStyle w:val="7"/>
        <w:widowControl/>
        <w:spacing w:line="580" w:lineRule="exact"/>
        <w:ind w:firstLine="643" w:firstLineChars="200"/>
        <w:rPr>
          <w:rFonts w:ascii="仿宋_GB2312" w:hAnsi="微软雅黑" w:eastAsia="仿宋_GB2312" w:cs="仿宋_GB2312"/>
          <w:color w:val="333333"/>
          <w:kern w:val="0"/>
          <w:sz w:val="32"/>
          <w:szCs w:val="32"/>
        </w:rPr>
      </w:pPr>
      <w:r>
        <w:rPr>
          <w:rFonts w:hint="eastAsia" w:ascii="仿宋_GB2312" w:hAnsi="仿宋" w:eastAsia="仿宋_GB2312" w:cs="仿宋_GB2312"/>
          <w:b/>
          <w:bCs/>
          <w:color w:val="000000" w:themeColor="text1"/>
          <w:sz w:val="32"/>
          <w:szCs w:val="32"/>
          <w14:textFill>
            <w14:solidFill>
              <w14:schemeClr w14:val="tx1"/>
            </w14:solidFill>
          </w14:textFill>
        </w:rPr>
        <w:t>第</w:t>
      </w:r>
      <w:r>
        <w:rPr>
          <w:rFonts w:hint="eastAsia" w:ascii="仿宋_GB2312" w:hAnsi="仿宋" w:eastAsia="仿宋_GB2312" w:cs="仿宋_GB2312"/>
          <w:b/>
          <w:bCs/>
          <w:color w:val="000000" w:themeColor="text1"/>
          <w:sz w:val="32"/>
          <w:szCs w:val="32"/>
          <w:lang w:eastAsia="zh-CN"/>
          <w14:textFill>
            <w14:solidFill>
              <w14:schemeClr w14:val="tx1"/>
            </w14:solidFill>
          </w14:textFill>
        </w:rPr>
        <w:t>九</w:t>
      </w:r>
      <w:r>
        <w:rPr>
          <w:rFonts w:hint="eastAsia" w:ascii="仿宋_GB2312" w:hAnsi="仿宋" w:eastAsia="仿宋_GB2312" w:cs="仿宋_GB2312"/>
          <w:b/>
          <w:bCs/>
          <w:color w:val="000000" w:themeColor="text1"/>
          <w:sz w:val="32"/>
          <w:szCs w:val="32"/>
          <w14:textFill>
            <w14:solidFill>
              <w14:schemeClr w14:val="tx1"/>
            </w14:solidFill>
          </w14:textFill>
        </w:rPr>
        <w:t xml:space="preserve">条 </w:t>
      </w:r>
      <w:r>
        <w:rPr>
          <w:rFonts w:hint="eastAsia" w:ascii="楷体" w:hAnsi="楷体" w:eastAsia="楷体" w:cs="楷体"/>
          <w:b/>
          <w:bCs/>
          <w:color w:val="333333"/>
          <w:kern w:val="0"/>
          <w:sz w:val="32"/>
          <w:szCs w:val="32"/>
        </w:rPr>
        <w:t>对举办电竞赛事的补助。</w:t>
      </w:r>
      <w:r>
        <w:rPr>
          <w:rFonts w:hint="eastAsia" w:ascii="仿宋_GB2312" w:hAnsi="微软雅黑" w:eastAsia="仿宋_GB2312" w:cs="仿宋_GB2312"/>
          <w:color w:val="333333"/>
          <w:kern w:val="0"/>
          <w:sz w:val="32"/>
          <w:szCs w:val="32"/>
        </w:rPr>
        <w:t>在苏州举办的国内外知名品牌电竞赛事，按照赛事投入的</w:t>
      </w:r>
      <w:r>
        <w:rPr>
          <w:rFonts w:ascii="仿宋_GB2312" w:hAnsi="微软雅黑" w:eastAsia="仿宋_GB2312" w:cs="仿宋_GB2312"/>
          <w:color w:val="333333"/>
          <w:kern w:val="0"/>
          <w:sz w:val="32"/>
          <w:szCs w:val="32"/>
        </w:rPr>
        <w:t>40%-60%</w:t>
      </w:r>
      <w:r>
        <w:rPr>
          <w:rFonts w:hint="eastAsia" w:ascii="仿宋_GB2312" w:hAnsi="微软雅黑" w:eastAsia="仿宋_GB2312" w:cs="仿宋_GB2312"/>
          <w:color w:val="333333"/>
          <w:kern w:val="0"/>
          <w:sz w:val="32"/>
          <w:szCs w:val="32"/>
        </w:rPr>
        <w:t>对在苏州注册成立的主办方或承办方给予办赛补助，第一年按赛事投入的</w:t>
      </w:r>
      <w:r>
        <w:rPr>
          <w:rFonts w:ascii="仿宋_GB2312" w:hAnsi="微软雅黑" w:eastAsia="仿宋_GB2312" w:cs="仿宋_GB2312"/>
          <w:color w:val="333333"/>
          <w:kern w:val="0"/>
          <w:sz w:val="32"/>
          <w:szCs w:val="32"/>
        </w:rPr>
        <w:t>40%</w:t>
      </w:r>
      <w:r>
        <w:rPr>
          <w:rFonts w:hint="eastAsia" w:ascii="仿宋_GB2312" w:hAnsi="微软雅黑" w:eastAsia="仿宋_GB2312" w:cs="仿宋_GB2312"/>
          <w:color w:val="333333"/>
          <w:kern w:val="0"/>
          <w:sz w:val="32"/>
          <w:szCs w:val="32"/>
        </w:rPr>
        <w:t>给予补助，连续举办的，次年补助比例递增</w:t>
      </w:r>
      <w:r>
        <w:rPr>
          <w:rFonts w:ascii="仿宋_GB2312" w:hAnsi="微软雅黑" w:eastAsia="仿宋_GB2312" w:cs="仿宋_GB2312"/>
          <w:color w:val="333333"/>
          <w:kern w:val="0"/>
          <w:sz w:val="32"/>
          <w:szCs w:val="32"/>
        </w:rPr>
        <w:t>5%</w:t>
      </w:r>
      <w:r>
        <w:rPr>
          <w:rFonts w:hint="eastAsia" w:ascii="仿宋_GB2312" w:hAnsi="微软雅黑" w:eastAsia="仿宋_GB2312" w:cs="仿宋_GB2312"/>
          <w:color w:val="333333"/>
          <w:kern w:val="0"/>
          <w:sz w:val="32"/>
          <w:szCs w:val="32"/>
        </w:rPr>
        <w:t>，单项赛事每年最高补助金额不超过</w:t>
      </w:r>
      <w:r>
        <w:rPr>
          <w:rFonts w:ascii="仿宋_GB2312" w:hAnsi="微软雅黑" w:eastAsia="仿宋_GB2312" w:cs="仿宋_GB2312"/>
          <w:color w:val="333333"/>
          <w:kern w:val="0"/>
          <w:sz w:val="32"/>
          <w:szCs w:val="32"/>
        </w:rPr>
        <w:t>1000</w:t>
      </w:r>
      <w:r>
        <w:rPr>
          <w:rFonts w:hint="eastAsia" w:ascii="仿宋_GB2312" w:hAnsi="微软雅黑" w:eastAsia="仿宋_GB2312" w:cs="仿宋_GB2312"/>
          <w:color w:val="333333"/>
          <w:kern w:val="0"/>
          <w:sz w:val="32"/>
          <w:szCs w:val="32"/>
        </w:rPr>
        <w:t>万元。在苏州举办的本土</w:t>
      </w:r>
      <w:r>
        <w:rPr>
          <w:rFonts w:ascii="仿宋_GB2312" w:hAnsi="微软雅黑" w:eastAsia="仿宋_GB2312" w:cs="仿宋_GB2312"/>
          <w:color w:val="333333"/>
          <w:kern w:val="0"/>
          <w:sz w:val="32"/>
          <w:szCs w:val="32"/>
        </w:rPr>
        <w:t>IP</w:t>
      </w:r>
      <w:r>
        <w:rPr>
          <w:rFonts w:hint="eastAsia" w:ascii="仿宋_GB2312" w:hAnsi="微软雅黑" w:eastAsia="仿宋_GB2312" w:cs="仿宋_GB2312"/>
          <w:color w:val="333333"/>
          <w:kern w:val="0"/>
          <w:sz w:val="32"/>
          <w:szCs w:val="32"/>
        </w:rPr>
        <w:t>电竞品牌赛事，按赛事投入的</w:t>
      </w:r>
      <w:r>
        <w:rPr>
          <w:rFonts w:ascii="仿宋_GB2312" w:hAnsi="微软雅黑" w:eastAsia="仿宋_GB2312" w:cs="仿宋_GB2312"/>
          <w:color w:val="333333"/>
          <w:kern w:val="0"/>
          <w:sz w:val="32"/>
          <w:szCs w:val="32"/>
        </w:rPr>
        <w:t>30%-50%</w:t>
      </w:r>
      <w:r>
        <w:rPr>
          <w:rFonts w:hint="eastAsia" w:ascii="仿宋_GB2312" w:hAnsi="微软雅黑" w:eastAsia="仿宋_GB2312" w:cs="仿宋_GB2312"/>
          <w:color w:val="333333"/>
          <w:kern w:val="0"/>
          <w:sz w:val="32"/>
          <w:szCs w:val="32"/>
        </w:rPr>
        <w:t>对在苏州注册成立的主办方或承办方给予办赛补助，第一年按赛事投入的</w:t>
      </w:r>
      <w:r>
        <w:rPr>
          <w:rFonts w:ascii="仿宋_GB2312" w:hAnsi="微软雅黑" w:eastAsia="仿宋_GB2312" w:cs="仿宋_GB2312"/>
          <w:color w:val="333333"/>
          <w:kern w:val="0"/>
          <w:sz w:val="32"/>
          <w:szCs w:val="32"/>
        </w:rPr>
        <w:t>30%</w:t>
      </w:r>
      <w:r>
        <w:rPr>
          <w:rFonts w:hint="eastAsia" w:ascii="仿宋_GB2312" w:hAnsi="微软雅黑" w:eastAsia="仿宋_GB2312" w:cs="仿宋_GB2312"/>
          <w:color w:val="333333"/>
          <w:kern w:val="0"/>
          <w:sz w:val="32"/>
          <w:szCs w:val="32"/>
        </w:rPr>
        <w:t>给予补助，连续举办的，次年补助比例递增</w:t>
      </w:r>
      <w:r>
        <w:rPr>
          <w:rFonts w:ascii="仿宋_GB2312" w:hAnsi="微软雅黑" w:eastAsia="仿宋_GB2312" w:cs="仿宋_GB2312"/>
          <w:color w:val="333333"/>
          <w:kern w:val="0"/>
          <w:sz w:val="32"/>
          <w:szCs w:val="32"/>
        </w:rPr>
        <w:t>5%</w:t>
      </w:r>
      <w:r>
        <w:rPr>
          <w:rFonts w:hint="eastAsia" w:ascii="仿宋_GB2312" w:hAnsi="微软雅黑" w:eastAsia="仿宋_GB2312" w:cs="仿宋_GB2312"/>
          <w:color w:val="333333"/>
          <w:kern w:val="0"/>
          <w:sz w:val="32"/>
          <w:szCs w:val="32"/>
        </w:rPr>
        <w:t>，单项赛事每年补助金额最高不超过</w:t>
      </w:r>
      <w:r>
        <w:rPr>
          <w:rFonts w:ascii="仿宋_GB2312" w:hAnsi="微软雅黑" w:eastAsia="仿宋_GB2312" w:cs="仿宋_GB2312"/>
          <w:color w:val="333333"/>
          <w:kern w:val="0"/>
          <w:sz w:val="32"/>
          <w:szCs w:val="32"/>
        </w:rPr>
        <w:t>100</w:t>
      </w:r>
      <w:r>
        <w:rPr>
          <w:rFonts w:hint="eastAsia" w:ascii="仿宋_GB2312" w:hAnsi="微软雅黑" w:eastAsia="仿宋_GB2312" w:cs="仿宋_GB2312"/>
          <w:color w:val="333333"/>
          <w:kern w:val="0"/>
          <w:sz w:val="32"/>
          <w:szCs w:val="32"/>
        </w:rPr>
        <w:t>万元。</w:t>
      </w:r>
    </w:p>
    <w:p>
      <w:pPr>
        <w:pStyle w:val="7"/>
        <w:widowControl/>
        <w:spacing w:line="580" w:lineRule="exact"/>
        <w:ind w:firstLine="643" w:firstLineChars="200"/>
        <w:rPr>
          <w:rFonts w:ascii="仿宋_GB2312" w:hAnsi="微软雅黑" w:eastAsia="仿宋_GB2312" w:cs="仿宋_GB2312"/>
          <w:kern w:val="0"/>
          <w:sz w:val="32"/>
          <w:szCs w:val="32"/>
        </w:rPr>
      </w:pPr>
      <w:r>
        <w:rPr>
          <w:rFonts w:hint="eastAsia" w:ascii="仿宋_GB2312" w:hAnsi="仿宋" w:eastAsia="仿宋_GB2312" w:cs="仿宋_GB2312"/>
          <w:b/>
          <w:bCs/>
          <w:color w:val="000000" w:themeColor="text1"/>
          <w:sz w:val="32"/>
          <w:szCs w:val="32"/>
          <w14:textFill>
            <w14:solidFill>
              <w14:schemeClr w14:val="tx1"/>
            </w14:solidFill>
          </w14:textFill>
        </w:rPr>
        <w:t>第</w:t>
      </w:r>
      <w:r>
        <w:rPr>
          <w:rFonts w:hint="eastAsia" w:ascii="仿宋_GB2312" w:hAnsi="仿宋" w:eastAsia="仿宋_GB2312" w:cs="仿宋_GB2312"/>
          <w:b/>
          <w:bCs/>
          <w:color w:val="000000" w:themeColor="text1"/>
          <w:sz w:val="32"/>
          <w:szCs w:val="32"/>
          <w:lang w:eastAsia="zh-CN"/>
          <w14:textFill>
            <w14:solidFill>
              <w14:schemeClr w14:val="tx1"/>
            </w14:solidFill>
          </w14:textFill>
        </w:rPr>
        <w:t>十</w:t>
      </w:r>
      <w:r>
        <w:rPr>
          <w:rFonts w:hint="eastAsia" w:ascii="仿宋_GB2312" w:hAnsi="仿宋" w:eastAsia="仿宋_GB2312" w:cs="仿宋_GB2312"/>
          <w:b/>
          <w:bCs/>
          <w:color w:val="000000" w:themeColor="text1"/>
          <w:sz w:val="32"/>
          <w:szCs w:val="32"/>
          <w14:textFill>
            <w14:solidFill>
              <w14:schemeClr w14:val="tx1"/>
            </w14:solidFill>
          </w14:textFill>
        </w:rPr>
        <w:t xml:space="preserve">条 </w:t>
      </w:r>
      <w:r>
        <w:rPr>
          <w:rFonts w:hint="eastAsia" w:ascii="楷体" w:hAnsi="楷体" w:eastAsia="楷体" w:cs="楷体"/>
          <w:b/>
          <w:bCs/>
          <w:color w:val="333333"/>
          <w:kern w:val="0"/>
          <w:sz w:val="32"/>
          <w:szCs w:val="32"/>
        </w:rPr>
        <w:t>对重点骨干企业的经济贡献奖励。</w:t>
      </w:r>
      <w:r>
        <w:rPr>
          <w:rFonts w:hint="eastAsia" w:ascii="仿宋_GB2312" w:hAnsi="微软雅黑" w:eastAsia="仿宋_GB2312" w:cs="仿宋_GB2312"/>
          <w:kern w:val="0"/>
          <w:sz w:val="32"/>
          <w:szCs w:val="32"/>
        </w:rPr>
        <w:t>对新引进在苏州注册后两年内即实现年度纳税额超过</w:t>
      </w:r>
      <w:r>
        <w:rPr>
          <w:rFonts w:ascii="仿宋_GB2312" w:hAnsi="微软雅黑" w:eastAsia="仿宋_GB2312" w:cs="仿宋_GB2312"/>
          <w:kern w:val="0"/>
          <w:sz w:val="32"/>
          <w:szCs w:val="32"/>
        </w:rPr>
        <w:t>200</w:t>
      </w:r>
      <w:r>
        <w:rPr>
          <w:rFonts w:hint="eastAsia" w:ascii="仿宋_GB2312" w:hAnsi="微软雅黑" w:eastAsia="仿宋_GB2312" w:cs="仿宋_GB2312"/>
          <w:kern w:val="0"/>
          <w:sz w:val="32"/>
          <w:szCs w:val="32"/>
        </w:rPr>
        <w:t>万元、</w:t>
      </w:r>
      <w:r>
        <w:rPr>
          <w:rFonts w:ascii="仿宋_GB2312" w:hAnsi="微软雅黑" w:eastAsia="仿宋_GB2312" w:cs="仿宋_GB2312"/>
          <w:kern w:val="0"/>
          <w:sz w:val="32"/>
          <w:szCs w:val="32"/>
        </w:rPr>
        <w:t>500</w:t>
      </w:r>
      <w:r>
        <w:rPr>
          <w:rFonts w:hint="eastAsia" w:ascii="仿宋_GB2312" w:hAnsi="微软雅黑" w:eastAsia="仿宋_GB2312" w:cs="仿宋_GB2312"/>
          <w:kern w:val="0"/>
          <w:sz w:val="32"/>
          <w:szCs w:val="32"/>
        </w:rPr>
        <w:t>万元的电竞企业，分别给予</w:t>
      </w:r>
      <w:r>
        <w:rPr>
          <w:rFonts w:ascii="仿宋_GB2312" w:hAnsi="微软雅黑" w:eastAsia="仿宋_GB2312" w:cs="仿宋_GB2312"/>
          <w:kern w:val="0"/>
          <w:sz w:val="32"/>
          <w:szCs w:val="32"/>
        </w:rPr>
        <w:t>50</w:t>
      </w:r>
      <w:r>
        <w:rPr>
          <w:rFonts w:hint="eastAsia" w:ascii="仿宋_GB2312" w:hAnsi="微软雅黑" w:eastAsia="仿宋_GB2312" w:cs="仿宋_GB2312"/>
          <w:kern w:val="0"/>
          <w:sz w:val="32"/>
          <w:szCs w:val="32"/>
        </w:rPr>
        <w:t>万元、</w:t>
      </w:r>
      <w:r>
        <w:rPr>
          <w:rFonts w:ascii="仿宋_GB2312" w:hAnsi="微软雅黑" w:eastAsia="仿宋_GB2312" w:cs="仿宋_GB2312"/>
          <w:kern w:val="0"/>
          <w:sz w:val="32"/>
          <w:szCs w:val="32"/>
        </w:rPr>
        <w:t>150</w:t>
      </w:r>
      <w:r>
        <w:rPr>
          <w:rFonts w:hint="eastAsia" w:ascii="仿宋_GB2312" w:hAnsi="微软雅黑" w:eastAsia="仿宋_GB2312" w:cs="仿宋_GB2312"/>
          <w:kern w:val="0"/>
          <w:sz w:val="32"/>
          <w:szCs w:val="32"/>
        </w:rPr>
        <w:t>万元的资金奖励,每家企业累计奖励资金不超过150万元。苏州本地电竞企业参照执行。</w:t>
      </w:r>
    </w:p>
    <w:p>
      <w:pPr>
        <w:pStyle w:val="7"/>
        <w:widowControl/>
        <w:spacing w:line="580" w:lineRule="exact"/>
        <w:ind w:firstLine="643" w:firstLineChars="200"/>
        <w:rPr>
          <w:rFonts w:ascii="仿宋_GB2312" w:hAnsi="微软雅黑" w:eastAsia="仿宋_GB2312" w:cs="仿宋_GB2312"/>
          <w:kern w:val="0"/>
          <w:sz w:val="32"/>
          <w:szCs w:val="32"/>
        </w:rPr>
      </w:pPr>
      <w:r>
        <w:rPr>
          <w:rFonts w:hint="eastAsia" w:ascii="仿宋_GB2312" w:hAnsi="仿宋" w:eastAsia="仿宋_GB2312" w:cs="仿宋_GB2312"/>
          <w:b/>
          <w:bCs/>
          <w:color w:val="000000" w:themeColor="text1"/>
          <w:sz w:val="32"/>
          <w:szCs w:val="32"/>
          <w14:textFill>
            <w14:solidFill>
              <w14:schemeClr w14:val="tx1"/>
            </w14:solidFill>
          </w14:textFill>
        </w:rPr>
        <w:t>第十</w:t>
      </w:r>
      <w:r>
        <w:rPr>
          <w:rFonts w:hint="eastAsia" w:ascii="仿宋_GB2312" w:hAnsi="仿宋" w:eastAsia="仿宋_GB2312" w:cs="仿宋_GB2312"/>
          <w:b/>
          <w:bCs/>
          <w:color w:val="000000" w:themeColor="text1"/>
          <w:sz w:val="32"/>
          <w:szCs w:val="32"/>
          <w:lang w:eastAsia="zh-CN"/>
          <w14:textFill>
            <w14:solidFill>
              <w14:schemeClr w14:val="tx1"/>
            </w14:solidFill>
          </w14:textFill>
        </w:rPr>
        <w:t>一</w:t>
      </w:r>
      <w:r>
        <w:rPr>
          <w:rFonts w:hint="eastAsia" w:ascii="仿宋_GB2312" w:hAnsi="仿宋" w:eastAsia="仿宋_GB2312" w:cs="仿宋_GB2312"/>
          <w:b/>
          <w:bCs/>
          <w:color w:val="000000" w:themeColor="text1"/>
          <w:sz w:val="32"/>
          <w:szCs w:val="32"/>
          <w14:textFill>
            <w14:solidFill>
              <w14:schemeClr w14:val="tx1"/>
            </w14:solidFill>
          </w14:textFill>
        </w:rPr>
        <w:t xml:space="preserve">条 </w:t>
      </w:r>
      <w:r>
        <w:rPr>
          <w:rFonts w:hint="eastAsia" w:ascii="楷体" w:hAnsi="楷体" w:eastAsia="楷体" w:cs="楷体"/>
          <w:b/>
          <w:bCs/>
          <w:color w:val="333333"/>
          <w:kern w:val="0"/>
          <w:sz w:val="32"/>
          <w:szCs w:val="32"/>
        </w:rPr>
        <w:t>对原创产品的研发奖励。</w:t>
      </w:r>
      <w:r>
        <w:rPr>
          <w:rFonts w:hint="eastAsia" w:ascii="仿宋_GB2312" w:hAnsi="微软雅黑" w:eastAsia="仿宋_GB2312" w:cs="仿宋_GB2312"/>
          <w:kern w:val="0"/>
          <w:sz w:val="32"/>
          <w:szCs w:val="32"/>
        </w:rPr>
        <w:t>对上线满一年并具有较大影响力的苏州企业原创电竞游戏产品，根据下载量、用户活跃度、衍生赛事规模等条件以及对苏州地方经济贡献情况，按照不超过该款电竞游戏产品研发投入的10%，最高不超过200万元，给予电竞游戏产品研发企业一次性资金奖励。</w:t>
      </w:r>
    </w:p>
    <w:p>
      <w:pPr>
        <w:pStyle w:val="7"/>
        <w:widowControl/>
        <w:spacing w:line="580" w:lineRule="exact"/>
        <w:ind w:firstLine="643" w:firstLineChars="200"/>
        <w:rPr>
          <w:rFonts w:ascii="仿宋_GB2312" w:hAnsi="微软雅黑" w:eastAsia="仿宋_GB2312"/>
          <w:kern w:val="0"/>
          <w:sz w:val="32"/>
          <w:szCs w:val="32"/>
        </w:rPr>
      </w:pPr>
      <w:r>
        <w:rPr>
          <w:rFonts w:hint="eastAsia" w:ascii="仿宋_GB2312" w:hAnsi="仿宋" w:eastAsia="仿宋_GB2312" w:cs="仿宋_GB2312"/>
          <w:b/>
          <w:bCs/>
          <w:color w:val="000000" w:themeColor="text1"/>
          <w:sz w:val="32"/>
          <w:szCs w:val="32"/>
          <w14:textFill>
            <w14:solidFill>
              <w14:schemeClr w14:val="tx1"/>
            </w14:solidFill>
          </w14:textFill>
        </w:rPr>
        <w:t>第十</w:t>
      </w:r>
      <w:r>
        <w:rPr>
          <w:rFonts w:hint="eastAsia" w:ascii="仿宋_GB2312" w:hAnsi="仿宋" w:eastAsia="仿宋_GB2312" w:cs="仿宋_GB2312"/>
          <w:b/>
          <w:bCs/>
          <w:color w:val="000000" w:themeColor="text1"/>
          <w:sz w:val="32"/>
          <w:szCs w:val="32"/>
          <w:lang w:eastAsia="zh-CN"/>
          <w14:textFill>
            <w14:solidFill>
              <w14:schemeClr w14:val="tx1"/>
            </w14:solidFill>
          </w14:textFill>
        </w:rPr>
        <w:t>二</w:t>
      </w:r>
      <w:r>
        <w:rPr>
          <w:rFonts w:hint="eastAsia" w:ascii="仿宋_GB2312" w:hAnsi="仿宋" w:eastAsia="仿宋_GB2312" w:cs="仿宋_GB2312"/>
          <w:b/>
          <w:bCs/>
          <w:color w:val="000000" w:themeColor="text1"/>
          <w:sz w:val="32"/>
          <w:szCs w:val="32"/>
          <w14:textFill>
            <w14:solidFill>
              <w14:schemeClr w14:val="tx1"/>
            </w14:solidFill>
          </w14:textFill>
        </w:rPr>
        <w:t xml:space="preserve">条 </w:t>
      </w:r>
      <w:r>
        <w:rPr>
          <w:rFonts w:hint="eastAsia" w:ascii="楷体" w:hAnsi="楷体" w:eastAsia="楷体" w:cs="楷体"/>
          <w:b/>
          <w:bCs/>
          <w:color w:val="333333"/>
          <w:kern w:val="0"/>
          <w:sz w:val="32"/>
          <w:szCs w:val="32"/>
        </w:rPr>
        <w:t>对项目建设的资金支持。</w:t>
      </w:r>
      <w:r>
        <w:rPr>
          <w:rFonts w:hint="eastAsia" w:ascii="仿宋_GB2312" w:hAnsi="微软雅黑" w:eastAsia="仿宋_GB2312" w:cs="仿宋_GB2312"/>
          <w:kern w:val="0"/>
          <w:sz w:val="32"/>
          <w:szCs w:val="32"/>
        </w:rPr>
        <w:t>对新建</w:t>
      </w:r>
      <w:r>
        <w:rPr>
          <w:rFonts w:ascii="仿宋_GB2312" w:hAnsi="微软雅黑" w:eastAsia="仿宋_GB2312" w:cs="仿宋_GB2312"/>
          <w:kern w:val="0"/>
          <w:sz w:val="32"/>
          <w:szCs w:val="32"/>
        </w:rPr>
        <w:t>(</w:t>
      </w:r>
      <w:r>
        <w:rPr>
          <w:rFonts w:hint="eastAsia" w:ascii="仿宋_GB2312" w:hAnsi="微软雅黑" w:eastAsia="仿宋_GB2312" w:cs="仿宋_GB2312"/>
          <w:kern w:val="0"/>
          <w:sz w:val="32"/>
          <w:szCs w:val="32"/>
        </w:rPr>
        <w:t>改建</w:t>
      </w:r>
      <w:r>
        <w:rPr>
          <w:rFonts w:ascii="仿宋_GB2312" w:hAnsi="微软雅黑" w:eastAsia="仿宋_GB2312" w:cs="仿宋_GB2312"/>
          <w:kern w:val="0"/>
          <w:sz w:val="32"/>
          <w:szCs w:val="32"/>
        </w:rPr>
        <w:t>)</w:t>
      </w:r>
      <w:r>
        <w:rPr>
          <w:rFonts w:hint="eastAsia" w:ascii="仿宋_GB2312" w:hAnsi="微软雅黑" w:eastAsia="仿宋_GB2312" w:cs="仿宋_GB2312"/>
          <w:kern w:val="0"/>
          <w:sz w:val="32"/>
          <w:szCs w:val="32"/>
        </w:rPr>
        <w:t>电竞场馆、产业园区等项目，符合市（县）区级、市级体育产业发展专项资金申报要求的，按照体育产业发展专项资金管理办法，给予相应的资金支持。符合省级体育产业发展专项资金支持的项目，支持推荐上报。</w:t>
      </w:r>
    </w:p>
    <w:p>
      <w:pPr>
        <w:widowControl/>
        <w:spacing w:line="580" w:lineRule="exact"/>
        <w:ind w:firstLine="643" w:firstLineChars="200"/>
        <w:rPr>
          <w:rFonts w:ascii="仿宋_GB2312" w:hAnsi="微软雅黑" w:eastAsia="仿宋_GB2312" w:cs="仿宋_GB2312"/>
          <w:kern w:val="0"/>
          <w:sz w:val="32"/>
          <w:szCs w:val="32"/>
        </w:rPr>
      </w:pPr>
      <w:r>
        <w:rPr>
          <w:rFonts w:hint="eastAsia" w:ascii="仿宋_GB2312" w:hAnsi="仿宋" w:eastAsia="仿宋_GB2312" w:cs="仿宋_GB2312"/>
          <w:b/>
          <w:bCs/>
          <w:color w:val="000000" w:themeColor="text1"/>
          <w:sz w:val="32"/>
          <w:szCs w:val="32"/>
          <w14:textFill>
            <w14:solidFill>
              <w14:schemeClr w14:val="tx1"/>
            </w14:solidFill>
          </w14:textFill>
        </w:rPr>
        <w:t>第十</w:t>
      </w:r>
      <w:r>
        <w:rPr>
          <w:rFonts w:hint="eastAsia" w:ascii="仿宋_GB2312" w:hAnsi="仿宋" w:eastAsia="仿宋_GB2312" w:cs="仿宋_GB2312"/>
          <w:b/>
          <w:bCs/>
          <w:color w:val="000000" w:themeColor="text1"/>
          <w:sz w:val="32"/>
          <w:szCs w:val="32"/>
          <w:lang w:eastAsia="zh-CN"/>
          <w14:textFill>
            <w14:solidFill>
              <w14:schemeClr w14:val="tx1"/>
            </w14:solidFill>
          </w14:textFill>
        </w:rPr>
        <w:t>三</w:t>
      </w:r>
      <w:r>
        <w:rPr>
          <w:rFonts w:hint="eastAsia" w:ascii="仿宋_GB2312" w:hAnsi="仿宋" w:eastAsia="仿宋_GB2312" w:cs="仿宋_GB2312"/>
          <w:b/>
          <w:bCs/>
          <w:color w:val="000000" w:themeColor="text1"/>
          <w:sz w:val="32"/>
          <w:szCs w:val="32"/>
          <w14:textFill>
            <w14:solidFill>
              <w14:schemeClr w14:val="tx1"/>
            </w14:solidFill>
          </w14:textFill>
        </w:rPr>
        <w:t>条</w:t>
      </w:r>
      <w:r>
        <w:rPr>
          <w:rFonts w:hint="eastAsia" w:ascii="楷体" w:hAnsi="楷体" w:eastAsia="楷体" w:cs="楷体"/>
          <w:b/>
          <w:bCs/>
          <w:color w:val="333333"/>
          <w:kern w:val="0"/>
          <w:sz w:val="32"/>
          <w:szCs w:val="32"/>
        </w:rPr>
        <w:t xml:space="preserve"> 对专业人才培育的支持。</w:t>
      </w:r>
      <w:r>
        <w:rPr>
          <w:rFonts w:hint="eastAsia" w:ascii="仿宋_GB2312" w:hAnsi="微软雅黑" w:eastAsia="仿宋_GB2312" w:cs="仿宋_GB2312"/>
          <w:kern w:val="0"/>
          <w:sz w:val="32"/>
          <w:szCs w:val="32"/>
        </w:rPr>
        <w:t>支持在苏高校开设电竞类专业。自获批并实现招生当年起，年度实际招生30人及以上且学生毕业时获得教育</w:t>
      </w:r>
      <w:r>
        <w:rPr>
          <w:rFonts w:hint="eastAsia" w:ascii="仿宋_GB2312" w:hAnsi="微软雅黑" w:eastAsia="仿宋_GB2312" w:cs="仿宋_GB2312"/>
          <w:color w:val="000000" w:themeColor="text1"/>
          <w:kern w:val="0"/>
          <w:sz w:val="32"/>
          <w:szCs w:val="32"/>
          <w14:textFill>
            <w14:solidFill>
              <w14:schemeClr w14:val="tx1"/>
            </w14:solidFill>
          </w14:textFill>
        </w:rPr>
        <w:t>部门或人社部门认可学历的,一次性</w:t>
      </w:r>
      <w:r>
        <w:rPr>
          <w:rFonts w:hint="eastAsia" w:ascii="仿宋_GB2312" w:hAnsi="微软雅黑" w:eastAsia="仿宋_GB2312" w:cs="仿宋_GB2312"/>
          <w:kern w:val="0"/>
          <w:sz w:val="32"/>
          <w:szCs w:val="32"/>
        </w:rPr>
        <w:t>给予最高不超过20万元的经费支持。对于</w:t>
      </w:r>
      <w:r>
        <w:rPr>
          <w:rFonts w:hint="eastAsia" w:ascii="仿宋_GB2312" w:hAnsi="微软雅黑" w:eastAsia="仿宋_GB2312" w:cs="仿宋_GB2312"/>
          <w:color w:val="333333"/>
          <w:kern w:val="0"/>
          <w:sz w:val="32"/>
          <w:szCs w:val="32"/>
        </w:rPr>
        <w:t>电竞软件研发人才、赛事执行及活动运营人才、高水平电竞选手、电竞主播等人才，</w:t>
      </w:r>
      <w:r>
        <w:rPr>
          <w:rFonts w:hint="eastAsia" w:ascii="仿宋_GB2312" w:hAnsi="微软雅黑" w:eastAsia="仿宋_GB2312" w:cs="仿宋_GB2312"/>
          <w:kern w:val="0"/>
          <w:sz w:val="32"/>
          <w:szCs w:val="32"/>
        </w:rPr>
        <w:t>企业（俱乐部）每</w:t>
      </w:r>
      <w:r>
        <w:rPr>
          <w:rFonts w:hint="eastAsia" w:ascii="仿宋_GB2312" w:hAnsi="微软雅黑" w:eastAsia="仿宋_GB2312" w:cs="仿宋_GB2312"/>
          <w:color w:val="333333"/>
          <w:kern w:val="0"/>
          <w:sz w:val="32"/>
          <w:szCs w:val="32"/>
        </w:rPr>
        <w:t>引进或委托人才培养1人，</w:t>
      </w:r>
      <w:r>
        <w:rPr>
          <w:rFonts w:hint="eastAsia" w:ascii="仿宋_GB2312" w:hAnsi="微软雅黑" w:eastAsia="仿宋_GB2312" w:cs="仿宋_GB2312"/>
          <w:kern w:val="0"/>
          <w:sz w:val="32"/>
          <w:szCs w:val="32"/>
        </w:rPr>
        <w:t>补助企业（俱乐部）1万元，累计补助不超过20万元。</w:t>
      </w:r>
    </w:p>
    <w:p>
      <w:pPr>
        <w:widowControl/>
        <w:spacing w:line="580" w:lineRule="exact"/>
        <w:ind w:firstLine="643" w:firstLineChars="200"/>
        <w:rPr>
          <w:rFonts w:ascii="仿宋_GB2312" w:hAnsi="微软雅黑" w:eastAsia="仿宋_GB2312" w:cs="仿宋_GB2312"/>
          <w:color w:val="auto"/>
          <w:kern w:val="0"/>
          <w:sz w:val="32"/>
          <w:szCs w:val="32"/>
        </w:rPr>
      </w:pPr>
      <w:r>
        <w:rPr>
          <w:rFonts w:hint="eastAsia" w:ascii="仿宋_GB2312" w:hAnsi="仿宋" w:eastAsia="仿宋_GB2312" w:cs="仿宋_GB2312"/>
          <w:b/>
          <w:bCs/>
          <w:color w:val="000000" w:themeColor="text1"/>
          <w:kern w:val="2"/>
          <w:sz w:val="32"/>
          <w:szCs w:val="32"/>
          <w14:textFill>
            <w14:solidFill>
              <w14:schemeClr w14:val="tx1"/>
            </w14:solidFill>
          </w14:textFill>
        </w:rPr>
        <w:t>第十</w:t>
      </w:r>
      <w:r>
        <w:rPr>
          <w:rFonts w:hint="eastAsia" w:ascii="仿宋_GB2312" w:hAnsi="仿宋" w:eastAsia="仿宋_GB2312" w:cs="仿宋_GB2312"/>
          <w:b/>
          <w:bCs/>
          <w:color w:val="000000" w:themeColor="text1"/>
          <w:kern w:val="2"/>
          <w:sz w:val="32"/>
          <w:szCs w:val="32"/>
          <w:lang w:eastAsia="zh-CN"/>
          <w14:textFill>
            <w14:solidFill>
              <w14:schemeClr w14:val="tx1"/>
            </w14:solidFill>
          </w14:textFill>
        </w:rPr>
        <w:t>四</w:t>
      </w:r>
      <w:r>
        <w:rPr>
          <w:rFonts w:hint="eastAsia" w:ascii="仿宋_GB2312" w:hAnsi="仿宋" w:eastAsia="仿宋_GB2312" w:cs="仿宋_GB2312"/>
          <w:b/>
          <w:bCs/>
          <w:color w:val="000000" w:themeColor="text1"/>
          <w:kern w:val="2"/>
          <w:sz w:val="32"/>
          <w:szCs w:val="32"/>
          <w14:textFill>
            <w14:solidFill>
              <w14:schemeClr w14:val="tx1"/>
            </w14:solidFill>
          </w14:textFill>
        </w:rPr>
        <w:t>条</w:t>
      </w:r>
      <w:r>
        <w:rPr>
          <w:rFonts w:ascii="仿宋_GB2312" w:hAnsi="仿宋" w:eastAsia="仿宋_GB2312" w:cs="仿宋_GB2312"/>
          <w:b/>
          <w:bCs/>
          <w:color w:val="000000" w:themeColor="text1"/>
          <w:kern w:val="2"/>
          <w:sz w:val="32"/>
          <w:szCs w:val="32"/>
          <w14:textFill>
            <w14:solidFill>
              <w14:schemeClr w14:val="tx1"/>
            </w14:solidFill>
          </w14:textFill>
        </w:rPr>
        <w:t xml:space="preserve"> </w:t>
      </w:r>
      <w:r>
        <w:rPr>
          <w:rFonts w:hint="eastAsia" w:ascii="仿宋_GB2312" w:hAnsi="微软雅黑" w:eastAsia="仿宋_GB2312" w:cs="仿宋_GB2312"/>
          <w:color w:val="auto"/>
          <w:kern w:val="0"/>
          <w:sz w:val="32"/>
          <w:szCs w:val="32"/>
        </w:rPr>
        <w:t>对于国际国内顶级头部企业、俱乐部和电竞赛事落户苏州所需的资金支持，可按照“一事一议”原则，由联席会议上报市政府，按程序确定补助额度。</w:t>
      </w:r>
    </w:p>
    <w:p>
      <w:pPr>
        <w:widowControl/>
        <w:spacing w:line="580" w:lineRule="exact"/>
        <w:ind w:firstLine="640" w:firstLineChars="200"/>
        <w:rPr>
          <w:rFonts w:ascii="仿宋_GB2312" w:hAnsi="微软雅黑" w:eastAsia="仿宋_GB2312" w:cs="仿宋_GB2312"/>
          <w:kern w:val="0"/>
          <w:sz w:val="32"/>
          <w:szCs w:val="32"/>
        </w:rPr>
      </w:pPr>
    </w:p>
    <w:p>
      <w:pPr>
        <w:widowControl/>
        <w:spacing w:line="580" w:lineRule="exact"/>
        <w:jc w:val="center"/>
        <w:rPr>
          <w:rFonts w:ascii="黑体" w:hAnsi="黑体" w:eastAsia="黑体" w:cs="仿宋_GB2312"/>
          <w:bCs/>
          <w:color w:val="000000" w:themeColor="text1"/>
          <w:sz w:val="32"/>
          <w:szCs w:val="32"/>
          <w14:textFill>
            <w14:solidFill>
              <w14:schemeClr w14:val="tx1"/>
            </w14:solidFill>
          </w14:textFill>
        </w:rPr>
      </w:pPr>
      <w:r>
        <w:rPr>
          <w:rFonts w:hint="eastAsia" w:ascii="黑体" w:hAnsi="黑体" w:eastAsia="黑体" w:cs="仿宋_GB2312"/>
          <w:bCs/>
          <w:color w:val="000000" w:themeColor="text1"/>
          <w:sz w:val="32"/>
          <w:szCs w:val="32"/>
          <w14:textFill>
            <w14:solidFill>
              <w14:schemeClr w14:val="tx1"/>
            </w14:solidFill>
          </w14:textFill>
        </w:rPr>
        <w:t>第四章  经费来源和使用</w:t>
      </w:r>
    </w:p>
    <w:p>
      <w:pPr>
        <w:widowControl/>
        <w:spacing w:line="580" w:lineRule="exact"/>
        <w:ind w:firstLine="643" w:firstLineChars="200"/>
        <w:rPr>
          <w:rFonts w:ascii="仿宋_GB2312" w:hAnsi="微软雅黑" w:eastAsia="仿宋_GB2312" w:cs="仿宋_GB2312"/>
          <w:kern w:val="0"/>
          <w:sz w:val="32"/>
          <w:szCs w:val="32"/>
        </w:rPr>
      </w:pPr>
      <w:r>
        <w:rPr>
          <w:rFonts w:hint="eastAsia" w:ascii="仿宋_GB2312" w:hAnsi="仿宋" w:eastAsia="仿宋_GB2312" w:cs="仿宋_GB2312"/>
          <w:b/>
          <w:bCs/>
          <w:color w:val="000000" w:themeColor="text1"/>
          <w:sz w:val="32"/>
          <w:szCs w:val="32"/>
          <w14:textFill>
            <w14:solidFill>
              <w14:schemeClr w14:val="tx1"/>
            </w14:solidFill>
          </w14:textFill>
        </w:rPr>
        <w:t>第十</w:t>
      </w:r>
      <w:r>
        <w:rPr>
          <w:rFonts w:hint="eastAsia" w:ascii="仿宋_GB2312" w:hAnsi="仿宋" w:eastAsia="仿宋_GB2312" w:cs="仿宋_GB2312"/>
          <w:b/>
          <w:bCs/>
          <w:color w:val="000000" w:themeColor="text1"/>
          <w:sz w:val="32"/>
          <w:szCs w:val="32"/>
          <w:lang w:eastAsia="zh-CN"/>
          <w14:textFill>
            <w14:solidFill>
              <w14:schemeClr w14:val="tx1"/>
            </w14:solidFill>
          </w14:textFill>
        </w:rPr>
        <w:t>五</w:t>
      </w:r>
      <w:r>
        <w:rPr>
          <w:rFonts w:hint="eastAsia" w:ascii="仿宋_GB2312" w:hAnsi="仿宋" w:eastAsia="仿宋_GB2312" w:cs="仿宋_GB2312"/>
          <w:b/>
          <w:bCs/>
          <w:color w:val="000000" w:themeColor="text1"/>
          <w:sz w:val="32"/>
          <w:szCs w:val="32"/>
          <w14:textFill>
            <w14:solidFill>
              <w14:schemeClr w14:val="tx1"/>
            </w14:solidFill>
          </w14:textFill>
        </w:rPr>
        <w:t xml:space="preserve">条 </w:t>
      </w:r>
      <w:r>
        <w:rPr>
          <w:rFonts w:hint="eastAsia" w:ascii="仿宋_GB2312" w:hAnsi="微软雅黑" w:eastAsia="仿宋_GB2312" w:cs="仿宋_GB2312"/>
          <w:kern w:val="0"/>
          <w:sz w:val="32"/>
          <w:szCs w:val="32"/>
        </w:rPr>
        <w:t>本实施细则所涉及的奖补资金按照市区</w:t>
      </w:r>
      <w:r>
        <w:rPr>
          <w:rFonts w:ascii="仿宋_GB2312" w:hAnsi="微软雅黑" w:eastAsia="仿宋_GB2312" w:cs="仿宋_GB2312"/>
          <w:kern w:val="0"/>
          <w:sz w:val="32"/>
          <w:szCs w:val="32"/>
        </w:rPr>
        <w:t>3:7</w:t>
      </w:r>
      <w:r>
        <w:rPr>
          <w:rFonts w:hint="eastAsia" w:ascii="仿宋_GB2312" w:hAnsi="微软雅黑" w:eastAsia="仿宋_GB2312" w:cs="仿宋_GB2312"/>
          <w:kern w:val="0"/>
          <w:sz w:val="32"/>
          <w:szCs w:val="32"/>
        </w:rPr>
        <w:t>，市县</w:t>
      </w:r>
      <w:r>
        <w:rPr>
          <w:rFonts w:ascii="仿宋_GB2312" w:hAnsi="微软雅黑" w:eastAsia="仿宋_GB2312" w:cs="仿宋_GB2312"/>
          <w:kern w:val="0"/>
          <w:sz w:val="32"/>
          <w:szCs w:val="32"/>
        </w:rPr>
        <w:t>1:9</w:t>
      </w:r>
      <w:r>
        <w:rPr>
          <w:rFonts w:hint="eastAsia" w:ascii="仿宋_GB2312" w:hAnsi="微软雅黑" w:eastAsia="仿宋_GB2312" w:cs="仿宋_GB2312"/>
          <w:kern w:val="0"/>
          <w:sz w:val="32"/>
          <w:szCs w:val="32"/>
        </w:rPr>
        <w:t>的比例分担。市级承担的补贴资金由市级财政安排，实行预算管理。</w:t>
      </w:r>
    </w:p>
    <w:p>
      <w:pPr>
        <w:spacing w:line="580" w:lineRule="exact"/>
        <w:rPr>
          <w:rFonts w:ascii="仿宋_GB2312" w:hAnsi="微软雅黑" w:eastAsia="仿宋_GB2312" w:cs="仿宋_GB2312"/>
          <w:kern w:val="0"/>
          <w:sz w:val="32"/>
          <w:szCs w:val="32"/>
        </w:rPr>
      </w:pPr>
      <w:r>
        <w:rPr>
          <w:rFonts w:hint="eastAsia" w:ascii="仿宋_GB2312" w:hAnsi="微软雅黑" w:eastAsia="仿宋_GB2312" w:cs="仿宋_GB2312"/>
          <w:b/>
          <w:bCs/>
          <w:color w:val="333333"/>
          <w:kern w:val="0"/>
          <w:sz w:val="32"/>
          <w:szCs w:val="32"/>
        </w:rPr>
        <w:t xml:space="preserve">    第十</w:t>
      </w:r>
      <w:r>
        <w:rPr>
          <w:rFonts w:hint="eastAsia" w:ascii="仿宋_GB2312" w:hAnsi="微软雅黑" w:eastAsia="仿宋_GB2312" w:cs="仿宋_GB2312"/>
          <w:b/>
          <w:bCs/>
          <w:color w:val="333333"/>
          <w:kern w:val="0"/>
          <w:sz w:val="32"/>
          <w:szCs w:val="32"/>
          <w:lang w:eastAsia="zh-CN"/>
        </w:rPr>
        <w:t>六</w:t>
      </w:r>
      <w:r>
        <w:rPr>
          <w:rFonts w:hint="eastAsia" w:ascii="仿宋_GB2312" w:hAnsi="微软雅黑" w:eastAsia="仿宋_GB2312" w:cs="仿宋_GB2312"/>
          <w:b/>
          <w:bCs/>
          <w:color w:val="333333"/>
          <w:kern w:val="0"/>
          <w:sz w:val="32"/>
          <w:szCs w:val="32"/>
        </w:rPr>
        <w:t xml:space="preserve">条 </w:t>
      </w:r>
      <w:r>
        <w:rPr>
          <w:rFonts w:hint="eastAsia" w:ascii="仿宋_GB2312" w:hAnsi="微软雅黑" w:eastAsia="仿宋_GB2312" w:cs="仿宋_GB2312"/>
          <w:kern w:val="0"/>
          <w:sz w:val="32"/>
          <w:szCs w:val="32"/>
        </w:rPr>
        <w:t>扶持经费必须专款专用，应用于申报项目后续运营发展。</w:t>
      </w:r>
      <w:r>
        <w:rPr>
          <w:rFonts w:hint="eastAsia" w:ascii="仿宋_GB2312" w:hAnsi="仿宋" w:eastAsia="仿宋_GB2312" w:cs="仿宋_GB2312"/>
          <w:color w:val="000000" w:themeColor="text1"/>
          <w:sz w:val="32"/>
          <w:szCs w:val="32"/>
          <w14:textFill>
            <w14:solidFill>
              <w14:schemeClr w14:val="tx1"/>
            </w14:solidFill>
          </w14:textFill>
        </w:rPr>
        <w:t>项目采用后补助方式，项目化管理，类别化支持。</w:t>
      </w:r>
    </w:p>
    <w:p>
      <w:pPr>
        <w:spacing w:line="580" w:lineRule="exact"/>
        <w:rPr>
          <w:rFonts w:ascii="黑体" w:hAnsi="黑体" w:eastAsia="黑体" w:cs="仿宋_GB2312"/>
          <w:bCs/>
          <w:color w:val="000000" w:themeColor="text1"/>
          <w:sz w:val="32"/>
          <w:szCs w:val="32"/>
          <w14:textFill>
            <w14:solidFill>
              <w14:schemeClr w14:val="tx1"/>
            </w14:solidFill>
          </w14:textFill>
        </w:rPr>
      </w:pPr>
    </w:p>
    <w:p>
      <w:pPr>
        <w:spacing w:line="580" w:lineRule="exact"/>
        <w:jc w:val="center"/>
        <w:rPr>
          <w:rFonts w:ascii="黑体" w:hAnsi="黑体" w:eastAsia="黑体"/>
          <w:bCs/>
          <w:color w:val="000000" w:themeColor="text1"/>
          <w:sz w:val="32"/>
          <w:szCs w:val="32"/>
          <w14:textFill>
            <w14:solidFill>
              <w14:schemeClr w14:val="tx1"/>
            </w14:solidFill>
          </w14:textFill>
        </w:rPr>
      </w:pPr>
      <w:r>
        <w:rPr>
          <w:rFonts w:hint="eastAsia" w:ascii="黑体" w:hAnsi="黑体" w:eastAsia="黑体" w:cs="仿宋_GB2312"/>
          <w:bCs/>
          <w:color w:val="000000" w:themeColor="text1"/>
          <w:sz w:val="32"/>
          <w:szCs w:val="32"/>
          <w14:textFill>
            <w14:solidFill>
              <w14:schemeClr w14:val="tx1"/>
            </w14:solidFill>
          </w14:textFill>
        </w:rPr>
        <w:t>第五章  实施与监督</w:t>
      </w:r>
    </w:p>
    <w:p>
      <w:pPr>
        <w:spacing w:line="580" w:lineRule="exact"/>
        <w:ind w:firstLine="610" w:firstLineChars="196"/>
        <w:rPr>
          <w:rFonts w:ascii="仿宋_GB2312" w:hAnsi="宋体" w:eastAsia="仿宋_GB2312" w:cs="仿宋_GB2312"/>
          <w:color w:val="000000"/>
          <w:kern w:val="0"/>
          <w:sz w:val="31"/>
          <w:szCs w:val="31"/>
        </w:rPr>
      </w:pPr>
      <w:r>
        <w:rPr>
          <w:rFonts w:ascii="仿宋_GB2312" w:hAnsi="宋体" w:eastAsia="仿宋_GB2312" w:cs="仿宋_GB2312"/>
          <w:b/>
          <w:color w:val="000000"/>
          <w:kern w:val="0"/>
          <w:sz w:val="31"/>
          <w:szCs w:val="31"/>
        </w:rPr>
        <w:t>第十</w:t>
      </w:r>
      <w:r>
        <w:rPr>
          <w:rFonts w:hint="eastAsia" w:ascii="仿宋_GB2312" w:hAnsi="宋体" w:eastAsia="仿宋_GB2312" w:cs="仿宋_GB2312"/>
          <w:b/>
          <w:color w:val="000000"/>
          <w:kern w:val="0"/>
          <w:sz w:val="31"/>
          <w:szCs w:val="31"/>
          <w:lang w:eastAsia="zh-CN"/>
        </w:rPr>
        <w:t>七</w:t>
      </w:r>
      <w:r>
        <w:rPr>
          <w:rFonts w:ascii="仿宋_GB2312" w:hAnsi="宋体" w:eastAsia="仿宋_GB2312" w:cs="仿宋_GB2312"/>
          <w:b/>
          <w:color w:val="000000"/>
          <w:kern w:val="0"/>
          <w:sz w:val="31"/>
          <w:szCs w:val="31"/>
        </w:rPr>
        <w:t>条</w:t>
      </w:r>
      <w:r>
        <w:rPr>
          <w:rFonts w:hint="eastAsia" w:ascii="仿宋_GB2312" w:hAnsi="宋体" w:eastAsia="仿宋_GB2312" w:cs="仿宋_GB2312"/>
          <w:b/>
          <w:color w:val="000000"/>
          <w:kern w:val="0"/>
          <w:sz w:val="31"/>
          <w:szCs w:val="31"/>
        </w:rPr>
        <w:t xml:space="preserve"> </w:t>
      </w:r>
      <w:r>
        <w:rPr>
          <w:rFonts w:hint="eastAsia" w:ascii="仿宋_GB2312" w:hAnsi="仿宋" w:eastAsia="仿宋_GB2312" w:cs="仿宋_GB2312"/>
          <w:color w:val="000000" w:themeColor="text1"/>
          <w:kern w:val="2"/>
          <w:sz w:val="32"/>
          <w:szCs w:val="32"/>
          <w14:textFill>
            <w14:solidFill>
              <w14:schemeClr w14:val="tx1"/>
            </w14:solidFill>
          </w14:textFill>
        </w:rPr>
        <w:t>电竞产业奖励补助申请采取属地管理原则，各市、区体育部门负责辖区内电竞产业项目的培育、申报和日常指导</w:t>
      </w:r>
      <w:r>
        <w:rPr>
          <w:rFonts w:hint="eastAsia" w:ascii="仿宋_GB2312" w:hAnsi="仿宋" w:eastAsia="仿宋_GB2312" w:cs="仿宋_GB2312"/>
          <w:color w:val="000000" w:themeColor="text1"/>
          <w:sz w:val="32"/>
          <w:szCs w:val="32"/>
          <w14:textFill>
            <w14:solidFill>
              <w14:schemeClr w14:val="tx1"/>
            </w14:solidFill>
          </w14:textFill>
        </w:rPr>
        <w:t>，</w:t>
      </w:r>
      <w:r>
        <w:rPr>
          <w:rFonts w:hint="eastAsia" w:ascii="仿宋_GB2312" w:hAnsi="仿宋" w:eastAsia="仿宋_GB2312" w:cs="仿宋_GB2312"/>
          <w:color w:val="000000" w:themeColor="text1"/>
          <w:kern w:val="2"/>
          <w:sz w:val="32"/>
          <w:szCs w:val="32"/>
          <w14:textFill>
            <w14:solidFill>
              <w14:schemeClr w14:val="tx1"/>
            </w14:solidFill>
          </w14:textFill>
        </w:rPr>
        <w:t>切实强化审核推荐责任，对申报材料的真实性严格把关、合规性严格审查，确保符合相关规定要求。</w:t>
      </w:r>
    </w:p>
    <w:p>
      <w:pPr>
        <w:widowControl/>
        <w:spacing w:line="580" w:lineRule="exact"/>
        <w:ind w:firstLine="622" w:firstLineChars="200"/>
        <w:rPr>
          <w:rFonts w:ascii="仿宋_GB2312" w:hAnsi="宋体" w:eastAsia="仿宋_GB2312" w:cs="仿宋_GB2312"/>
          <w:color w:val="000000"/>
          <w:kern w:val="0"/>
          <w:sz w:val="31"/>
          <w:szCs w:val="31"/>
        </w:rPr>
      </w:pPr>
      <w:r>
        <w:rPr>
          <w:rFonts w:hint="eastAsia" w:ascii="仿宋_GB2312" w:hAnsi="宋体" w:eastAsia="仿宋_GB2312" w:cs="仿宋_GB2312"/>
          <w:b/>
          <w:color w:val="000000"/>
          <w:kern w:val="0"/>
          <w:sz w:val="31"/>
          <w:szCs w:val="31"/>
        </w:rPr>
        <w:t>第十</w:t>
      </w:r>
      <w:r>
        <w:rPr>
          <w:rFonts w:hint="eastAsia" w:ascii="仿宋_GB2312" w:hAnsi="宋体" w:eastAsia="仿宋_GB2312" w:cs="仿宋_GB2312"/>
          <w:b/>
          <w:color w:val="000000"/>
          <w:kern w:val="0"/>
          <w:sz w:val="31"/>
          <w:szCs w:val="31"/>
          <w:lang w:eastAsia="zh-CN"/>
        </w:rPr>
        <w:t>八</w:t>
      </w:r>
      <w:r>
        <w:rPr>
          <w:rFonts w:hint="eastAsia" w:ascii="仿宋_GB2312" w:hAnsi="宋体" w:eastAsia="仿宋_GB2312" w:cs="仿宋_GB2312"/>
          <w:b/>
          <w:color w:val="000000"/>
          <w:kern w:val="0"/>
          <w:sz w:val="31"/>
          <w:szCs w:val="31"/>
        </w:rPr>
        <w:t xml:space="preserve">条 </w:t>
      </w:r>
      <w:r>
        <w:rPr>
          <w:rFonts w:hint="eastAsia" w:ascii="仿宋_GB2312" w:hAnsi="仿宋" w:eastAsia="仿宋_GB2312" w:cs="仿宋_GB2312"/>
          <w:color w:val="000000" w:themeColor="text1"/>
          <w:kern w:val="2"/>
          <w:sz w:val="32"/>
          <w:szCs w:val="32"/>
          <w14:textFill>
            <w14:solidFill>
              <w14:schemeClr w14:val="tx1"/>
            </w14:solidFill>
          </w14:textFill>
        </w:rPr>
        <w:t>市体育局负责全市电竞产业项目</w:t>
      </w:r>
      <w:r>
        <w:rPr>
          <w:rFonts w:hint="eastAsia" w:ascii="仿宋_GB2312" w:hAnsi="仿宋" w:eastAsia="仿宋_GB2312" w:cs="仿宋_GB2312"/>
          <w:color w:val="000000" w:themeColor="text1"/>
          <w:sz w:val="32"/>
          <w:szCs w:val="32"/>
          <w14:textFill>
            <w14:solidFill>
              <w14:schemeClr w14:val="tx1"/>
            </w14:solidFill>
          </w14:textFill>
        </w:rPr>
        <w:t>申报</w:t>
      </w:r>
      <w:r>
        <w:rPr>
          <w:rFonts w:hint="eastAsia" w:ascii="仿宋_GB2312" w:hAnsi="仿宋" w:eastAsia="仿宋_GB2312" w:cs="仿宋_GB2312"/>
          <w:color w:val="000000" w:themeColor="text1"/>
          <w:kern w:val="2"/>
          <w:sz w:val="32"/>
          <w:szCs w:val="32"/>
          <w14:textFill>
            <w14:solidFill>
              <w14:schemeClr w14:val="tx1"/>
            </w14:solidFill>
          </w14:textFill>
        </w:rPr>
        <w:t>工作的管理和业务指导，每年定期发布当年度电竞产业项目奖励补助申报通知，明确当年的扶持申报程序和其他执行事项。</w:t>
      </w:r>
      <w:r>
        <w:rPr>
          <w:rFonts w:hint="eastAsia" w:ascii="仿宋_GB2312" w:hAnsi="仿宋" w:eastAsia="仿宋_GB2312" w:cs="仿宋_GB2312"/>
          <w:color w:val="000000" w:themeColor="text1"/>
          <w:sz w:val="32"/>
          <w:szCs w:val="32"/>
          <w14:textFill>
            <w14:solidFill>
              <w14:schemeClr w14:val="tx1"/>
            </w14:solidFill>
          </w14:textFill>
        </w:rPr>
        <w:t>各申报单位的申报项目必须是至申报时已经完成的项目，具体完成时间在当年申报通知中明确。</w:t>
      </w:r>
    </w:p>
    <w:p>
      <w:pPr>
        <w:spacing w:line="580" w:lineRule="exact"/>
        <w:ind w:firstLine="668" w:firstLineChars="208"/>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b/>
          <w:bCs/>
          <w:color w:val="000000" w:themeColor="text1"/>
          <w:sz w:val="32"/>
          <w:szCs w:val="32"/>
          <w14:textFill>
            <w14:solidFill>
              <w14:schemeClr w14:val="tx1"/>
            </w14:solidFill>
          </w14:textFill>
        </w:rPr>
        <w:t>第十</w:t>
      </w:r>
      <w:r>
        <w:rPr>
          <w:rFonts w:hint="eastAsia" w:ascii="仿宋_GB2312" w:hAnsi="仿宋" w:eastAsia="仿宋_GB2312" w:cs="仿宋_GB2312"/>
          <w:b/>
          <w:bCs/>
          <w:color w:val="000000" w:themeColor="text1"/>
          <w:sz w:val="32"/>
          <w:szCs w:val="32"/>
          <w:lang w:eastAsia="zh-CN"/>
          <w14:textFill>
            <w14:solidFill>
              <w14:schemeClr w14:val="tx1"/>
            </w14:solidFill>
          </w14:textFill>
        </w:rPr>
        <w:t>九</w:t>
      </w:r>
      <w:r>
        <w:rPr>
          <w:rFonts w:hint="eastAsia" w:ascii="仿宋_GB2312" w:hAnsi="仿宋" w:eastAsia="仿宋_GB2312" w:cs="仿宋_GB2312"/>
          <w:b/>
          <w:bCs/>
          <w:color w:val="000000" w:themeColor="text1"/>
          <w:sz w:val="32"/>
          <w:szCs w:val="32"/>
          <w14:textFill>
            <w14:solidFill>
              <w14:schemeClr w14:val="tx1"/>
            </w14:solidFill>
          </w14:textFill>
        </w:rPr>
        <w:t xml:space="preserve">条 </w:t>
      </w:r>
      <w:r>
        <w:rPr>
          <w:rFonts w:hint="eastAsia" w:ascii="仿宋_GB2312" w:hAnsi="仿宋" w:eastAsia="仿宋_GB2312" w:cs="仿宋_GB2312"/>
          <w:color w:val="000000" w:themeColor="text1"/>
          <w:sz w:val="32"/>
          <w:szCs w:val="32"/>
          <w14:textFill>
            <w14:solidFill>
              <w14:schemeClr w14:val="tx1"/>
            </w14:solidFill>
          </w14:textFill>
        </w:rPr>
        <w:t>项目申报单位全面实行信用承诺制。项目申报单位作为申报责任主体，须对申报材料的真实性、合法性、有效性和完整性负责，作出虚假承诺的将计入不良信用记录，并取消补贴资格。</w:t>
      </w:r>
    </w:p>
    <w:p>
      <w:pPr>
        <w:spacing w:line="580" w:lineRule="exact"/>
        <w:ind w:firstLine="647" w:firstLineChars="208"/>
        <w:rPr>
          <w:rFonts w:ascii="仿宋_GB2312" w:hAnsi="仿宋" w:eastAsia="仿宋_GB2312" w:cs="仿宋"/>
          <w:color w:val="000000" w:themeColor="text1"/>
          <w:sz w:val="32"/>
          <w:szCs w:val="32"/>
          <w14:textFill>
            <w14:solidFill>
              <w14:schemeClr w14:val="tx1"/>
            </w14:solidFill>
          </w14:textFill>
        </w:rPr>
      </w:pPr>
      <w:r>
        <w:rPr>
          <w:rFonts w:hint="eastAsia" w:ascii="仿宋_GB2312" w:hAnsi="宋体" w:eastAsia="仿宋_GB2312" w:cs="仿宋_GB2312"/>
          <w:b/>
          <w:bCs/>
          <w:color w:val="000000"/>
          <w:kern w:val="0"/>
          <w:sz w:val="31"/>
          <w:szCs w:val="31"/>
        </w:rPr>
        <w:t>第</w:t>
      </w:r>
      <w:r>
        <w:rPr>
          <w:rFonts w:hint="eastAsia" w:ascii="仿宋_GB2312" w:hAnsi="宋体" w:eastAsia="仿宋_GB2312" w:cs="仿宋_GB2312"/>
          <w:b/>
          <w:bCs/>
          <w:color w:val="000000"/>
          <w:kern w:val="0"/>
          <w:sz w:val="31"/>
          <w:szCs w:val="31"/>
          <w:lang w:eastAsia="zh-CN"/>
        </w:rPr>
        <w:t>二十</w:t>
      </w:r>
      <w:r>
        <w:rPr>
          <w:rFonts w:hint="eastAsia" w:ascii="仿宋_GB2312" w:hAnsi="宋体" w:eastAsia="仿宋_GB2312" w:cs="仿宋_GB2312"/>
          <w:b/>
          <w:bCs/>
          <w:color w:val="000000"/>
          <w:kern w:val="0"/>
          <w:sz w:val="31"/>
          <w:szCs w:val="31"/>
        </w:rPr>
        <w:t>条</w:t>
      </w:r>
      <w:r>
        <w:rPr>
          <w:rFonts w:hint="eastAsia" w:ascii="仿宋_GB2312" w:hAnsi="仿宋" w:eastAsia="仿宋_GB2312" w:cs="仿宋_GB2312"/>
          <w:color w:val="000000" w:themeColor="text1"/>
          <w:sz w:val="32"/>
          <w:szCs w:val="32"/>
          <w14:textFill>
            <w14:solidFill>
              <w14:schemeClr w14:val="tx1"/>
            </w14:solidFill>
          </w14:textFill>
        </w:rPr>
        <w:t xml:space="preserve"> 项目申报单位应自觉接受体育、发改、财政、税务、审计、监察等相关部门的监督检查，严格执行财务规章制度和会计核算办法。</w:t>
      </w:r>
    </w:p>
    <w:p>
      <w:pPr>
        <w:spacing w:line="580" w:lineRule="exact"/>
        <w:ind w:firstLine="643" w:firstLineChars="200"/>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b/>
          <w:color w:val="000000" w:themeColor="text1"/>
          <w:sz w:val="32"/>
          <w:szCs w:val="32"/>
          <w14:textFill>
            <w14:solidFill>
              <w14:schemeClr w14:val="tx1"/>
            </w14:solidFill>
          </w14:textFill>
        </w:rPr>
        <w:t>第二十</w:t>
      </w:r>
      <w:r>
        <w:rPr>
          <w:rFonts w:hint="eastAsia" w:ascii="仿宋_GB2312" w:hAnsi="仿宋" w:eastAsia="仿宋_GB2312" w:cs="仿宋_GB2312"/>
          <w:b/>
          <w:color w:val="000000" w:themeColor="text1"/>
          <w:sz w:val="32"/>
          <w:szCs w:val="32"/>
          <w:lang w:eastAsia="zh-CN"/>
          <w14:textFill>
            <w14:solidFill>
              <w14:schemeClr w14:val="tx1"/>
            </w14:solidFill>
          </w14:textFill>
        </w:rPr>
        <w:t>一</w:t>
      </w:r>
      <w:r>
        <w:rPr>
          <w:rFonts w:hint="eastAsia" w:ascii="仿宋_GB2312" w:hAnsi="仿宋" w:eastAsia="仿宋_GB2312" w:cs="仿宋_GB2312"/>
          <w:b/>
          <w:color w:val="000000" w:themeColor="text1"/>
          <w:sz w:val="32"/>
          <w:szCs w:val="32"/>
          <w14:textFill>
            <w14:solidFill>
              <w14:schemeClr w14:val="tx1"/>
            </w14:solidFill>
          </w14:textFill>
        </w:rPr>
        <w:t xml:space="preserve">条 </w:t>
      </w:r>
      <w:r>
        <w:rPr>
          <w:rFonts w:hint="eastAsia" w:ascii="仿宋_GB2312" w:hAnsi="仿宋" w:eastAsia="仿宋_GB2312" w:cs="仿宋_GB2312"/>
          <w:color w:val="000000" w:themeColor="text1"/>
          <w:sz w:val="32"/>
          <w:szCs w:val="32"/>
          <w14:textFill>
            <w14:solidFill>
              <w14:schemeClr w14:val="tx1"/>
            </w14:solidFill>
          </w14:textFill>
        </w:rPr>
        <w:t>电竞产业项目的申报、评审、管理全过程接受纪检、审计、财政等部门的监督。</w:t>
      </w:r>
    </w:p>
    <w:p>
      <w:pPr>
        <w:spacing w:line="580" w:lineRule="exact"/>
        <w:ind w:firstLine="643" w:firstLineChars="200"/>
        <w:rPr>
          <w:rFonts w:hint="eastAsia"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b/>
          <w:bCs/>
          <w:color w:val="000000" w:themeColor="text1"/>
          <w:sz w:val="32"/>
          <w:szCs w:val="32"/>
          <w14:textFill>
            <w14:solidFill>
              <w14:schemeClr w14:val="tx1"/>
            </w14:solidFill>
          </w14:textFill>
        </w:rPr>
        <w:t>第二十</w:t>
      </w:r>
      <w:r>
        <w:rPr>
          <w:rFonts w:hint="eastAsia" w:ascii="仿宋_GB2312" w:hAnsi="仿宋" w:eastAsia="仿宋_GB2312" w:cs="仿宋_GB2312"/>
          <w:b/>
          <w:bCs/>
          <w:color w:val="000000" w:themeColor="text1"/>
          <w:sz w:val="32"/>
          <w:szCs w:val="32"/>
          <w:lang w:eastAsia="zh-CN"/>
          <w14:textFill>
            <w14:solidFill>
              <w14:schemeClr w14:val="tx1"/>
            </w14:solidFill>
          </w14:textFill>
        </w:rPr>
        <w:t>二</w:t>
      </w:r>
      <w:r>
        <w:rPr>
          <w:rFonts w:hint="eastAsia" w:ascii="仿宋_GB2312" w:hAnsi="仿宋" w:eastAsia="仿宋_GB2312" w:cs="仿宋_GB2312"/>
          <w:b/>
          <w:bCs/>
          <w:color w:val="000000" w:themeColor="text1"/>
          <w:sz w:val="32"/>
          <w:szCs w:val="32"/>
          <w14:textFill>
            <w14:solidFill>
              <w14:schemeClr w14:val="tx1"/>
            </w14:solidFill>
          </w14:textFill>
        </w:rPr>
        <w:t xml:space="preserve">条 </w:t>
      </w:r>
      <w:r>
        <w:rPr>
          <w:rFonts w:hint="eastAsia" w:ascii="仿宋_GB2312" w:hAnsi="仿宋" w:eastAsia="仿宋_GB2312" w:cs="仿宋_GB2312"/>
          <w:color w:val="000000" w:themeColor="text1"/>
          <w:sz w:val="32"/>
          <w:szCs w:val="32"/>
          <w14:textFill>
            <w14:solidFill>
              <w14:schemeClr w14:val="tx1"/>
            </w14:solidFill>
          </w14:textFill>
        </w:rPr>
        <w:t>各市（县）、区体育行政主管部门做好扶持资金的预算执行和绩效管理及评价等工作。</w:t>
      </w:r>
    </w:p>
    <w:p>
      <w:pPr>
        <w:spacing w:line="580" w:lineRule="exact"/>
        <w:ind w:firstLine="643" w:firstLineChars="200"/>
        <w:rPr>
          <w:rFonts w:hint="eastAsia"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b/>
          <w:bCs/>
          <w:color w:val="000000" w:themeColor="text1"/>
          <w:sz w:val="32"/>
          <w:szCs w:val="32"/>
          <w14:textFill>
            <w14:solidFill>
              <w14:schemeClr w14:val="tx1"/>
            </w14:solidFill>
          </w14:textFill>
        </w:rPr>
        <w:t>第二十</w:t>
      </w:r>
      <w:r>
        <w:rPr>
          <w:rFonts w:hint="eastAsia" w:ascii="仿宋_GB2312" w:hAnsi="仿宋" w:eastAsia="仿宋_GB2312" w:cs="仿宋_GB2312"/>
          <w:b/>
          <w:bCs/>
          <w:color w:val="000000" w:themeColor="text1"/>
          <w:sz w:val="32"/>
          <w:szCs w:val="32"/>
          <w:lang w:eastAsia="zh-CN"/>
          <w14:textFill>
            <w14:solidFill>
              <w14:schemeClr w14:val="tx1"/>
            </w14:solidFill>
          </w14:textFill>
        </w:rPr>
        <w:t>三</w:t>
      </w:r>
      <w:r>
        <w:rPr>
          <w:rFonts w:hint="eastAsia" w:ascii="仿宋_GB2312" w:hAnsi="仿宋" w:eastAsia="仿宋_GB2312" w:cs="仿宋_GB2312"/>
          <w:b/>
          <w:bCs/>
          <w:color w:val="000000" w:themeColor="text1"/>
          <w:sz w:val="32"/>
          <w:szCs w:val="32"/>
          <w14:textFill>
            <w14:solidFill>
              <w14:schemeClr w14:val="tx1"/>
            </w14:solidFill>
          </w14:textFill>
        </w:rPr>
        <w:t>条</w:t>
      </w:r>
      <w:r>
        <w:rPr>
          <w:rFonts w:hint="eastAsia" w:ascii="仿宋_GB2312" w:hAnsi="仿宋" w:eastAsia="仿宋_GB2312" w:cs="仿宋_GB2312"/>
          <w:color w:val="000000" w:themeColor="text1"/>
          <w:sz w:val="32"/>
          <w:szCs w:val="32"/>
          <w14:textFill>
            <w14:solidFill>
              <w14:schemeClr w14:val="tx1"/>
            </w14:solidFill>
          </w14:textFill>
        </w:rPr>
        <w:t xml:space="preserve"> 对违反规定使用、骗取财政资金的行为，一经查实，收回资金，并按《中华人民共和国预算法》《财政违法行为处罚处分条例》《江苏省财政监督条例》等给予处理和处罚，追究相关单位和个人的责任。</w:t>
      </w:r>
    </w:p>
    <w:p>
      <w:pPr>
        <w:spacing w:line="580" w:lineRule="exact"/>
        <w:ind w:firstLine="643" w:firstLineChars="200"/>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b/>
          <w:bCs/>
          <w:color w:val="000000" w:themeColor="text1"/>
          <w:sz w:val="32"/>
          <w:szCs w:val="32"/>
          <w14:textFill>
            <w14:solidFill>
              <w14:schemeClr w14:val="tx1"/>
            </w14:solidFill>
          </w14:textFill>
        </w:rPr>
        <w:t>第二十</w:t>
      </w:r>
      <w:r>
        <w:rPr>
          <w:rFonts w:hint="eastAsia" w:ascii="仿宋_GB2312" w:hAnsi="仿宋" w:eastAsia="仿宋_GB2312" w:cs="仿宋_GB2312"/>
          <w:b/>
          <w:bCs/>
          <w:color w:val="000000" w:themeColor="text1"/>
          <w:sz w:val="32"/>
          <w:szCs w:val="32"/>
          <w:lang w:eastAsia="zh-CN"/>
          <w14:textFill>
            <w14:solidFill>
              <w14:schemeClr w14:val="tx1"/>
            </w14:solidFill>
          </w14:textFill>
        </w:rPr>
        <w:t>四</w:t>
      </w:r>
      <w:r>
        <w:rPr>
          <w:rFonts w:hint="eastAsia" w:ascii="仿宋_GB2312" w:hAnsi="仿宋" w:eastAsia="仿宋_GB2312" w:cs="仿宋_GB2312"/>
          <w:b/>
          <w:bCs/>
          <w:color w:val="000000" w:themeColor="text1"/>
          <w:sz w:val="32"/>
          <w:szCs w:val="32"/>
          <w14:textFill>
            <w14:solidFill>
              <w14:schemeClr w14:val="tx1"/>
            </w14:solidFill>
          </w14:textFill>
        </w:rPr>
        <w:t>条</w:t>
      </w:r>
      <w:r>
        <w:rPr>
          <w:rFonts w:hint="eastAsia" w:ascii="仿宋_GB2312" w:hAnsi="仿宋" w:eastAsia="仿宋_GB2312" w:cs="仿宋_GB2312"/>
          <w:color w:val="000000" w:themeColor="text1"/>
          <w:sz w:val="32"/>
          <w:szCs w:val="32"/>
          <w14:textFill>
            <w14:solidFill>
              <w14:schemeClr w14:val="tx1"/>
            </w14:solidFill>
          </w14:textFill>
        </w:rPr>
        <w:t xml:space="preserve"> 国家机关工作人员在专项资金管理工作中有滥用职权、玩忽职守、徇私舞弊等涉嫌职务违法和犯罪的，移送监察机关依法处理。</w:t>
      </w:r>
    </w:p>
    <w:p>
      <w:pPr>
        <w:spacing w:line="580" w:lineRule="exact"/>
        <w:ind w:firstLine="640" w:firstLineChars="200"/>
        <w:rPr>
          <w:rFonts w:ascii="仿宋_GB2312" w:hAnsi="仿宋" w:eastAsia="仿宋_GB2312"/>
          <w:color w:val="000000" w:themeColor="text1"/>
          <w:sz w:val="32"/>
          <w:szCs w:val="32"/>
          <w14:textFill>
            <w14:solidFill>
              <w14:schemeClr w14:val="tx1"/>
            </w14:solidFill>
          </w14:textFill>
        </w:rPr>
      </w:pPr>
    </w:p>
    <w:p>
      <w:pPr>
        <w:spacing w:line="580" w:lineRule="exact"/>
        <w:jc w:val="center"/>
        <w:rPr>
          <w:rFonts w:ascii="黑体" w:hAnsi="黑体" w:eastAsia="黑体"/>
          <w:bCs/>
          <w:color w:val="000000" w:themeColor="text1"/>
          <w:sz w:val="32"/>
          <w:szCs w:val="32"/>
          <w14:textFill>
            <w14:solidFill>
              <w14:schemeClr w14:val="tx1"/>
            </w14:solidFill>
          </w14:textFill>
        </w:rPr>
      </w:pPr>
      <w:r>
        <w:rPr>
          <w:rFonts w:hint="eastAsia" w:ascii="黑体" w:hAnsi="黑体" w:eastAsia="黑体" w:cs="仿宋_GB2312"/>
          <w:bCs/>
          <w:color w:val="000000" w:themeColor="text1"/>
          <w:sz w:val="32"/>
          <w:szCs w:val="32"/>
          <w14:textFill>
            <w14:solidFill>
              <w14:schemeClr w14:val="tx1"/>
            </w14:solidFill>
          </w14:textFill>
        </w:rPr>
        <w:t>第六章  附则</w:t>
      </w:r>
    </w:p>
    <w:p>
      <w:pPr>
        <w:spacing w:line="580" w:lineRule="exact"/>
        <w:ind w:firstLine="643" w:firstLineChars="200"/>
        <w:rPr>
          <w:rFonts w:hint="eastAsia"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b/>
          <w:bCs/>
          <w:color w:val="000000" w:themeColor="text1"/>
          <w:sz w:val="32"/>
          <w:szCs w:val="32"/>
          <w14:textFill>
            <w14:solidFill>
              <w14:schemeClr w14:val="tx1"/>
            </w14:solidFill>
          </w14:textFill>
        </w:rPr>
        <w:t>第二十</w:t>
      </w:r>
      <w:r>
        <w:rPr>
          <w:rFonts w:hint="eastAsia" w:ascii="仿宋_GB2312" w:hAnsi="仿宋" w:eastAsia="仿宋_GB2312" w:cs="仿宋_GB2312"/>
          <w:b/>
          <w:bCs/>
          <w:color w:val="000000" w:themeColor="text1"/>
          <w:sz w:val="32"/>
          <w:szCs w:val="32"/>
          <w:lang w:eastAsia="zh-CN"/>
          <w14:textFill>
            <w14:solidFill>
              <w14:schemeClr w14:val="tx1"/>
            </w14:solidFill>
          </w14:textFill>
        </w:rPr>
        <w:t>五</w:t>
      </w:r>
      <w:r>
        <w:rPr>
          <w:rFonts w:hint="eastAsia" w:ascii="仿宋_GB2312" w:hAnsi="仿宋" w:eastAsia="仿宋_GB2312" w:cs="仿宋_GB2312"/>
          <w:b/>
          <w:bCs/>
          <w:color w:val="000000" w:themeColor="text1"/>
          <w:sz w:val="32"/>
          <w:szCs w:val="32"/>
          <w14:textFill>
            <w14:solidFill>
              <w14:schemeClr w14:val="tx1"/>
            </w14:solidFill>
          </w14:textFill>
        </w:rPr>
        <w:t xml:space="preserve">条 </w:t>
      </w:r>
      <w:r>
        <w:rPr>
          <w:rFonts w:hint="eastAsia" w:ascii="仿宋_GB2312" w:hAnsi="仿宋" w:eastAsia="仿宋_GB2312" w:cs="仿宋_GB2312"/>
          <w:color w:val="000000" w:themeColor="text1"/>
          <w:sz w:val="32"/>
          <w:szCs w:val="32"/>
          <w14:textFill>
            <w14:solidFill>
              <w14:schemeClr w14:val="tx1"/>
            </w14:solidFill>
          </w14:textFill>
        </w:rPr>
        <w:t>本实施细则由苏州市体育局负责解释。市（县）、区根据市政府办公室《关于促进苏州电竞产业健康发展的实施意见》和当地电竞产业发展实际情况,制订本地区扶持政策,培育日趋完善的电竞产业发展生态。</w:t>
      </w:r>
    </w:p>
    <w:p>
      <w:pPr>
        <w:spacing w:line="580" w:lineRule="exact"/>
        <w:ind w:firstLine="787" w:firstLineChars="245"/>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s="仿宋_GB2312"/>
          <w:b/>
          <w:bCs/>
          <w:color w:val="000000" w:themeColor="text1"/>
          <w:sz w:val="32"/>
          <w:szCs w:val="32"/>
          <w14:textFill>
            <w14:solidFill>
              <w14:schemeClr w14:val="tx1"/>
            </w14:solidFill>
          </w14:textFill>
        </w:rPr>
        <w:t>第二十</w:t>
      </w:r>
      <w:r>
        <w:rPr>
          <w:rFonts w:hint="eastAsia" w:ascii="仿宋_GB2312" w:hAnsi="仿宋" w:eastAsia="仿宋_GB2312" w:cs="仿宋_GB2312"/>
          <w:b/>
          <w:bCs/>
          <w:color w:val="000000" w:themeColor="text1"/>
          <w:sz w:val="32"/>
          <w:szCs w:val="32"/>
          <w:lang w:eastAsia="zh-CN"/>
          <w14:textFill>
            <w14:solidFill>
              <w14:schemeClr w14:val="tx1"/>
            </w14:solidFill>
          </w14:textFill>
        </w:rPr>
        <w:t>六</w:t>
      </w:r>
      <w:r>
        <w:rPr>
          <w:rFonts w:hint="eastAsia" w:ascii="仿宋_GB2312" w:hAnsi="仿宋" w:eastAsia="仿宋_GB2312" w:cs="仿宋_GB2312"/>
          <w:b/>
          <w:bCs/>
          <w:color w:val="000000" w:themeColor="text1"/>
          <w:sz w:val="32"/>
          <w:szCs w:val="32"/>
          <w14:textFill>
            <w14:solidFill>
              <w14:schemeClr w14:val="tx1"/>
            </w14:solidFill>
          </w14:textFill>
        </w:rPr>
        <w:t xml:space="preserve">条 </w:t>
      </w:r>
      <w:r>
        <w:rPr>
          <w:rFonts w:hint="eastAsia" w:ascii="仿宋_GB2312" w:hAnsi="仿宋" w:eastAsia="仿宋_GB2312" w:cs="仿宋_GB2312"/>
          <w:color w:val="000000" w:themeColor="text1"/>
          <w:sz w:val="32"/>
          <w:szCs w:val="32"/>
          <w14:textFill>
            <w14:solidFill>
              <w14:schemeClr w14:val="tx1"/>
            </w14:solidFill>
          </w14:textFill>
        </w:rPr>
        <w:t>本实施细则自2021年月日起施行</w:t>
      </w:r>
      <w:r>
        <w:rPr>
          <w:rFonts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有效期至2026年1月31日。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7C406A"/>
    <w:rsid w:val="0000500C"/>
    <w:rsid w:val="00015262"/>
    <w:rsid w:val="000434A1"/>
    <w:rsid w:val="0005111F"/>
    <w:rsid w:val="00074D48"/>
    <w:rsid w:val="000757AD"/>
    <w:rsid w:val="00085209"/>
    <w:rsid w:val="00090EF7"/>
    <w:rsid w:val="000B5B8F"/>
    <w:rsid w:val="000E43E9"/>
    <w:rsid w:val="00144A5E"/>
    <w:rsid w:val="001B4CA2"/>
    <w:rsid w:val="00223158"/>
    <w:rsid w:val="00247180"/>
    <w:rsid w:val="00257DBD"/>
    <w:rsid w:val="00287285"/>
    <w:rsid w:val="002C0CBF"/>
    <w:rsid w:val="00311476"/>
    <w:rsid w:val="003272C5"/>
    <w:rsid w:val="0034306C"/>
    <w:rsid w:val="00354432"/>
    <w:rsid w:val="003B4E88"/>
    <w:rsid w:val="003C6B72"/>
    <w:rsid w:val="003D301A"/>
    <w:rsid w:val="003E2128"/>
    <w:rsid w:val="003F612E"/>
    <w:rsid w:val="004003EF"/>
    <w:rsid w:val="00444555"/>
    <w:rsid w:val="004E138D"/>
    <w:rsid w:val="004E1902"/>
    <w:rsid w:val="00504445"/>
    <w:rsid w:val="00507F40"/>
    <w:rsid w:val="00516ABA"/>
    <w:rsid w:val="00532B07"/>
    <w:rsid w:val="005B2DE5"/>
    <w:rsid w:val="005F72AA"/>
    <w:rsid w:val="0062483F"/>
    <w:rsid w:val="00653944"/>
    <w:rsid w:val="0066065D"/>
    <w:rsid w:val="00675469"/>
    <w:rsid w:val="006C0F3A"/>
    <w:rsid w:val="006C62FA"/>
    <w:rsid w:val="006E4B4B"/>
    <w:rsid w:val="00761CCF"/>
    <w:rsid w:val="00775C66"/>
    <w:rsid w:val="007C5BDE"/>
    <w:rsid w:val="008159E2"/>
    <w:rsid w:val="008360DB"/>
    <w:rsid w:val="008444FB"/>
    <w:rsid w:val="00872252"/>
    <w:rsid w:val="0087692C"/>
    <w:rsid w:val="008B2A05"/>
    <w:rsid w:val="00903B71"/>
    <w:rsid w:val="0099591B"/>
    <w:rsid w:val="009E6747"/>
    <w:rsid w:val="00A03E8C"/>
    <w:rsid w:val="00A41462"/>
    <w:rsid w:val="00A45677"/>
    <w:rsid w:val="00AC5C55"/>
    <w:rsid w:val="00AD6694"/>
    <w:rsid w:val="00B14309"/>
    <w:rsid w:val="00B36F04"/>
    <w:rsid w:val="00B81444"/>
    <w:rsid w:val="00BC36EC"/>
    <w:rsid w:val="00BC4DE3"/>
    <w:rsid w:val="00BD02D9"/>
    <w:rsid w:val="00BF6808"/>
    <w:rsid w:val="00C11FB1"/>
    <w:rsid w:val="00C342D5"/>
    <w:rsid w:val="00C6620B"/>
    <w:rsid w:val="00CA55D3"/>
    <w:rsid w:val="00CB17AD"/>
    <w:rsid w:val="00CB1C1A"/>
    <w:rsid w:val="00CB6E64"/>
    <w:rsid w:val="00CB7ED7"/>
    <w:rsid w:val="00D442A5"/>
    <w:rsid w:val="00D604A2"/>
    <w:rsid w:val="00D6345D"/>
    <w:rsid w:val="00DA108D"/>
    <w:rsid w:val="00DB3F04"/>
    <w:rsid w:val="00DD43C3"/>
    <w:rsid w:val="00DE59A8"/>
    <w:rsid w:val="00DF1575"/>
    <w:rsid w:val="00DF6DBD"/>
    <w:rsid w:val="00E45827"/>
    <w:rsid w:val="00E502A5"/>
    <w:rsid w:val="00E54E03"/>
    <w:rsid w:val="00E7193D"/>
    <w:rsid w:val="00E76D08"/>
    <w:rsid w:val="00E76E2C"/>
    <w:rsid w:val="00F479BE"/>
    <w:rsid w:val="00F53306"/>
    <w:rsid w:val="00F9574F"/>
    <w:rsid w:val="00FE747D"/>
    <w:rsid w:val="011211CB"/>
    <w:rsid w:val="0117316F"/>
    <w:rsid w:val="015E5E4A"/>
    <w:rsid w:val="017033C5"/>
    <w:rsid w:val="01A94D46"/>
    <w:rsid w:val="01B52294"/>
    <w:rsid w:val="01B70F3D"/>
    <w:rsid w:val="01C66377"/>
    <w:rsid w:val="01E03EE6"/>
    <w:rsid w:val="02917A3C"/>
    <w:rsid w:val="02934381"/>
    <w:rsid w:val="029F4C2B"/>
    <w:rsid w:val="02AA55CC"/>
    <w:rsid w:val="03187CA3"/>
    <w:rsid w:val="03234045"/>
    <w:rsid w:val="03836D2E"/>
    <w:rsid w:val="03D03453"/>
    <w:rsid w:val="03FB7660"/>
    <w:rsid w:val="04AF3F00"/>
    <w:rsid w:val="04D50C56"/>
    <w:rsid w:val="04F150BF"/>
    <w:rsid w:val="0500750E"/>
    <w:rsid w:val="0520625C"/>
    <w:rsid w:val="05CE4B23"/>
    <w:rsid w:val="06505858"/>
    <w:rsid w:val="06531BEF"/>
    <w:rsid w:val="065714F8"/>
    <w:rsid w:val="06607EBA"/>
    <w:rsid w:val="06790C8F"/>
    <w:rsid w:val="06954D4D"/>
    <w:rsid w:val="0714132E"/>
    <w:rsid w:val="07211E8B"/>
    <w:rsid w:val="07357CA2"/>
    <w:rsid w:val="082D6EC4"/>
    <w:rsid w:val="082E13F7"/>
    <w:rsid w:val="083265AA"/>
    <w:rsid w:val="084E621B"/>
    <w:rsid w:val="085555D4"/>
    <w:rsid w:val="086C52A6"/>
    <w:rsid w:val="08756652"/>
    <w:rsid w:val="08C34A46"/>
    <w:rsid w:val="08D42FFA"/>
    <w:rsid w:val="09697E43"/>
    <w:rsid w:val="096B4A70"/>
    <w:rsid w:val="0A072A58"/>
    <w:rsid w:val="0A782E4D"/>
    <w:rsid w:val="0A7A60F8"/>
    <w:rsid w:val="0A857610"/>
    <w:rsid w:val="0A9B1878"/>
    <w:rsid w:val="0AE33878"/>
    <w:rsid w:val="0B050F3D"/>
    <w:rsid w:val="0B343719"/>
    <w:rsid w:val="0B8F00A4"/>
    <w:rsid w:val="0BBB6D9A"/>
    <w:rsid w:val="0BD044BC"/>
    <w:rsid w:val="0BD34190"/>
    <w:rsid w:val="0BF4472F"/>
    <w:rsid w:val="0BFA0D97"/>
    <w:rsid w:val="0C1866A9"/>
    <w:rsid w:val="0CB42B7F"/>
    <w:rsid w:val="0CB77E54"/>
    <w:rsid w:val="0D83114C"/>
    <w:rsid w:val="0DBF716C"/>
    <w:rsid w:val="0DDE61A7"/>
    <w:rsid w:val="0DE94BFD"/>
    <w:rsid w:val="0E3A5FF9"/>
    <w:rsid w:val="0E621E16"/>
    <w:rsid w:val="0E700CA1"/>
    <w:rsid w:val="0E7F2AFE"/>
    <w:rsid w:val="0EBB2326"/>
    <w:rsid w:val="0EBC701C"/>
    <w:rsid w:val="0F143073"/>
    <w:rsid w:val="0FC321E5"/>
    <w:rsid w:val="0FE542A3"/>
    <w:rsid w:val="10621480"/>
    <w:rsid w:val="106C383F"/>
    <w:rsid w:val="10701919"/>
    <w:rsid w:val="1099168A"/>
    <w:rsid w:val="10E22795"/>
    <w:rsid w:val="112B239A"/>
    <w:rsid w:val="11862C25"/>
    <w:rsid w:val="11C77B09"/>
    <w:rsid w:val="11F17164"/>
    <w:rsid w:val="120C3A2C"/>
    <w:rsid w:val="12220E3D"/>
    <w:rsid w:val="123D72FA"/>
    <w:rsid w:val="125A1364"/>
    <w:rsid w:val="128B4B3B"/>
    <w:rsid w:val="129C5E34"/>
    <w:rsid w:val="12BA60B6"/>
    <w:rsid w:val="137C4D24"/>
    <w:rsid w:val="13821721"/>
    <w:rsid w:val="139F730C"/>
    <w:rsid w:val="14021889"/>
    <w:rsid w:val="142000A9"/>
    <w:rsid w:val="146F30C9"/>
    <w:rsid w:val="149F6257"/>
    <w:rsid w:val="14A91BC3"/>
    <w:rsid w:val="14C176F0"/>
    <w:rsid w:val="15250DBB"/>
    <w:rsid w:val="155B0566"/>
    <w:rsid w:val="155B486D"/>
    <w:rsid w:val="15757F74"/>
    <w:rsid w:val="15891B56"/>
    <w:rsid w:val="15A15766"/>
    <w:rsid w:val="15C032D9"/>
    <w:rsid w:val="15E05100"/>
    <w:rsid w:val="15FE48AE"/>
    <w:rsid w:val="1618298C"/>
    <w:rsid w:val="16201C73"/>
    <w:rsid w:val="16553276"/>
    <w:rsid w:val="167324D4"/>
    <w:rsid w:val="16CE0289"/>
    <w:rsid w:val="16DB74E3"/>
    <w:rsid w:val="172971B1"/>
    <w:rsid w:val="17EE71BA"/>
    <w:rsid w:val="17F33FE9"/>
    <w:rsid w:val="180705C5"/>
    <w:rsid w:val="182246AE"/>
    <w:rsid w:val="1829128B"/>
    <w:rsid w:val="18477D6A"/>
    <w:rsid w:val="186547CF"/>
    <w:rsid w:val="18711EB6"/>
    <w:rsid w:val="18A93F0D"/>
    <w:rsid w:val="18B02551"/>
    <w:rsid w:val="18B93273"/>
    <w:rsid w:val="18C2516F"/>
    <w:rsid w:val="18F10F01"/>
    <w:rsid w:val="192262DE"/>
    <w:rsid w:val="19416B6F"/>
    <w:rsid w:val="194A1D38"/>
    <w:rsid w:val="19737230"/>
    <w:rsid w:val="199D6AEA"/>
    <w:rsid w:val="19BC54B7"/>
    <w:rsid w:val="19E8438A"/>
    <w:rsid w:val="1A08005F"/>
    <w:rsid w:val="1A141D08"/>
    <w:rsid w:val="1A262AD3"/>
    <w:rsid w:val="1A92201A"/>
    <w:rsid w:val="1AB47DDB"/>
    <w:rsid w:val="1B023F7A"/>
    <w:rsid w:val="1B4452F6"/>
    <w:rsid w:val="1B6F4882"/>
    <w:rsid w:val="1B790CDA"/>
    <w:rsid w:val="1B905AB5"/>
    <w:rsid w:val="1BA17AA4"/>
    <w:rsid w:val="1BA520A5"/>
    <w:rsid w:val="1BD10FC6"/>
    <w:rsid w:val="1BD82433"/>
    <w:rsid w:val="1BE27E87"/>
    <w:rsid w:val="1BF55547"/>
    <w:rsid w:val="1C5C53F3"/>
    <w:rsid w:val="1C866D95"/>
    <w:rsid w:val="1C8770AD"/>
    <w:rsid w:val="1CE84E78"/>
    <w:rsid w:val="1CF15A43"/>
    <w:rsid w:val="1D380E50"/>
    <w:rsid w:val="1D6B7D6B"/>
    <w:rsid w:val="1D800D9D"/>
    <w:rsid w:val="1DD838F3"/>
    <w:rsid w:val="1E3C2320"/>
    <w:rsid w:val="1E5A5806"/>
    <w:rsid w:val="1E8A168A"/>
    <w:rsid w:val="1EDC63CD"/>
    <w:rsid w:val="1F755E2D"/>
    <w:rsid w:val="1F775D29"/>
    <w:rsid w:val="1FC439F4"/>
    <w:rsid w:val="1FD72DA8"/>
    <w:rsid w:val="1FF2744A"/>
    <w:rsid w:val="203C09CA"/>
    <w:rsid w:val="205105D7"/>
    <w:rsid w:val="2073386F"/>
    <w:rsid w:val="20A14ED1"/>
    <w:rsid w:val="20AD45B6"/>
    <w:rsid w:val="20F8178C"/>
    <w:rsid w:val="210F50FB"/>
    <w:rsid w:val="21116FA2"/>
    <w:rsid w:val="21250BC2"/>
    <w:rsid w:val="21525C29"/>
    <w:rsid w:val="215D7B01"/>
    <w:rsid w:val="215E756B"/>
    <w:rsid w:val="21801108"/>
    <w:rsid w:val="223967B6"/>
    <w:rsid w:val="228C5224"/>
    <w:rsid w:val="2328412A"/>
    <w:rsid w:val="23294289"/>
    <w:rsid w:val="23346482"/>
    <w:rsid w:val="236F2C76"/>
    <w:rsid w:val="238A136C"/>
    <w:rsid w:val="23FA6C34"/>
    <w:rsid w:val="24216855"/>
    <w:rsid w:val="24241AC7"/>
    <w:rsid w:val="242E390A"/>
    <w:rsid w:val="245C2C3F"/>
    <w:rsid w:val="24827BA8"/>
    <w:rsid w:val="24874C74"/>
    <w:rsid w:val="24A365A8"/>
    <w:rsid w:val="24B27DE2"/>
    <w:rsid w:val="24EA7DE5"/>
    <w:rsid w:val="25007D05"/>
    <w:rsid w:val="25202F2B"/>
    <w:rsid w:val="25267BBC"/>
    <w:rsid w:val="25426C8A"/>
    <w:rsid w:val="25460A83"/>
    <w:rsid w:val="25C543AD"/>
    <w:rsid w:val="26256000"/>
    <w:rsid w:val="26727420"/>
    <w:rsid w:val="26A37B4B"/>
    <w:rsid w:val="26BB3B23"/>
    <w:rsid w:val="272C0BDB"/>
    <w:rsid w:val="27747EAA"/>
    <w:rsid w:val="27883C71"/>
    <w:rsid w:val="28AD439C"/>
    <w:rsid w:val="2908359B"/>
    <w:rsid w:val="29320344"/>
    <w:rsid w:val="29423D46"/>
    <w:rsid w:val="29646B74"/>
    <w:rsid w:val="29CF0CEA"/>
    <w:rsid w:val="29D91E6C"/>
    <w:rsid w:val="29F518E2"/>
    <w:rsid w:val="2A3C4604"/>
    <w:rsid w:val="2A7D713C"/>
    <w:rsid w:val="2A9164C6"/>
    <w:rsid w:val="2AFE12D2"/>
    <w:rsid w:val="2B08356B"/>
    <w:rsid w:val="2B110BDD"/>
    <w:rsid w:val="2B65225C"/>
    <w:rsid w:val="2B785FB4"/>
    <w:rsid w:val="2B7D0037"/>
    <w:rsid w:val="2BA25E93"/>
    <w:rsid w:val="2BA4706E"/>
    <w:rsid w:val="2C342040"/>
    <w:rsid w:val="2C780384"/>
    <w:rsid w:val="2C9909EF"/>
    <w:rsid w:val="2CF1071F"/>
    <w:rsid w:val="2D64793C"/>
    <w:rsid w:val="2D6579F7"/>
    <w:rsid w:val="2DE24ED3"/>
    <w:rsid w:val="2E8A14C4"/>
    <w:rsid w:val="2EA16027"/>
    <w:rsid w:val="2EE34016"/>
    <w:rsid w:val="2EFD4B7C"/>
    <w:rsid w:val="2F3F6BB4"/>
    <w:rsid w:val="2F580890"/>
    <w:rsid w:val="30057AB0"/>
    <w:rsid w:val="30436E11"/>
    <w:rsid w:val="30E7358F"/>
    <w:rsid w:val="30EA05DD"/>
    <w:rsid w:val="311006B5"/>
    <w:rsid w:val="31224812"/>
    <w:rsid w:val="31FA508C"/>
    <w:rsid w:val="321217CD"/>
    <w:rsid w:val="324A710B"/>
    <w:rsid w:val="326455CA"/>
    <w:rsid w:val="32853D76"/>
    <w:rsid w:val="32A7507C"/>
    <w:rsid w:val="330129EB"/>
    <w:rsid w:val="336526E7"/>
    <w:rsid w:val="338D2E53"/>
    <w:rsid w:val="33CB7587"/>
    <w:rsid w:val="33EA23A3"/>
    <w:rsid w:val="33F67305"/>
    <w:rsid w:val="341332F7"/>
    <w:rsid w:val="341B725C"/>
    <w:rsid w:val="342001C8"/>
    <w:rsid w:val="346A1710"/>
    <w:rsid w:val="348320CD"/>
    <w:rsid w:val="34913658"/>
    <w:rsid w:val="34BC3E3E"/>
    <w:rsid w:val="34D17D24"/>
    <w:rsid w:val="34E672D3"/>
    <w:rsid w:val="354141D9"/>
    <w:rsid w:val="35705446"/>
    <w:rsid w:val="3581342C"/>
    <w:rsid w:val="35985DC3"/>
    <w:rsid w:val="35E63A07"/>
    <w:rsid w:val="35E840BE"/>
    <w:rsid w:val="360747ED"/>
    <w:rsid w:val="36355122"/>
    <w:rsid w:val="36480A36"/>
    <w:rsid w:val="36904461"/>
    <w:rsid w:val="36CD18DA"/>
    <w:rsid w:val="36D34C29"/>
    <w:rsid w:val="36D729EE"/>
    <w:rsid w:val="36ED123C"/>
    <w:rsid w:val="36F76762"/>
    <w:rsid w:val="37625FE8"/>
    <w:rsid w:val="37B22DF9"/>
    <w:rsid w:val="37D356B0"/>
    <w:rsid w:val="37FD3A0B"/>
    <w:rsid w:val="384C6775"/>
    <w:rsid w:val="385200CD"/>
    <w:rsid w:val="387E210D"/>
    <w:rsid w:val="3888437A"/>
    <w:rsid w:val="392372C4"/>
    <w:rsid w:val="393B4E0F"/>
    <w:rsid w:val="3944155D"/>
    <w:rsid w:val="39BF6916"/>
    <w:rsid w:val="39CB0F94"/>
    <w:rsid w:val="3A801691"/>
    <w:rsid w:val="3AD30E67"/>
    <w:rsid w:val="3ADB5A1D"/>
    <w:rsid w:val="3AF76EB1"/>
    <w:rsid w:val="3AFC719C"/>
    <w:rsid w:val="3B14645C"/>
    <w:rsid w:val="3B37727C"/>
    <w:rsid w:val="3B3A373D"/>
    <w:rsid w:val="3B42389E"/>
    <w:rsid w:val="3B4D1685"/>
    <w:rsid w:val="3BA6094B"/>
    <w:rsid w:val="3BAE675D"/>
    <w:rsid w:val="3BFF1F41"/>
    <w:rsid w:val="3C007A69"/>
    <w:rsid w:val="3C451E06"/>
    <w:rsid w:val="3CD12596"/>
    <w:rsid w:val="3D4B0AEB"/>
    <w:rsid w:val="3D784A8B"/>
    <w:rsid w:val="3D952A14"/>
    <w:rsid w:val="3DB22ECD"/>
    <w:rsid w:val="3F23401D"/>
    <w:rsid w:val="40486750"/>
    <w:rsid w:val="407C1589"/>
    <w:rsid w:val="407D07FE"/>
    <w:rsid w:val="407E6A0D"/>
    <w:rsid w:val="40A8104F"/>
    <w:rsid w:val="40CB3284"/>
    <w:rsid w:val="41165228"/>
    <w:rsid w:val="411A024E"/>
    <w:rsid w:val="412846F8"/>
    <w:rsid w:val="414B62D1"/>
    <w:rsid w:val="417C5001"/>
    <w:rsid w:val="41C008A3"/>
    <w:rsid w:val="41C441B1"/>
    <w:rsid w:val="41E8319F"/>
    <w:rsid w:val="426260FE"/>
    <w:rsid w:val="428B3BC8"/>
    <w:rsid w:val="42A35EE7"/>
    <w:rsid w:val="42EC2928"/>
    <w:rsid w:val="431259C8"/>
    <w:rsid w:val="43150007"/>
    <w:rsid w:val="43433B8E"/>
    <w:rsid w:val="4348734B"/>
    <w:rsid w:val="43B83D6D"/>
    <w:rsid w:val="43D979B9"/>
    <w:rsid w:val="43EF54B4"/>
    <w:rsid w:val="449E488B"/>
    <w:rsid w:val="44AE3429"/>
    <w:rsid w:val="45AD328C"/>
    <w:rsid w:val="46222DCD"/>
    <w:rsid w:val="465337DA"/>
    <w:rsid w:val="46D36BE0"/>
    <w:rsid w:val="4709213F"/>
    <w:rsid w:val="47680779"/>
    <w:rsid w:val="477E3907"/>
    <w:rsid w:val="47926E97"/>
    <w:rsid w:val="4798000F"/>
    <w:rsid w:val="47BD3B7C"/>
    <w:rsid w:val="47CD4FE7"/>
    <w:rsid w:val="47FB2A4A"/>
    <w:rsid w:val="48365CBD"/>
    <w:rsid w:val="48444322"/>
    <w:rsid w:val="48653932"/>
    <w:rsid w:val="48AC5A9F"/>
    <w:rsid w:val="48C2246E"/>
    <w:rsid w:val="48C75B8F"/>
    <w:rsid w:val="48E2328A"/>
    <w:rsid w:val="48E92B4A"/>
    <w:rsid w:val="48EC33E4"/>
    <w:rsid w:val="495079CC"/>
    <w:rsid w:val="49955428"/>
    <w:rsid w:val="49B55FAC"/>
    <w:rsid w:val="4A3E2B67"/>
    <w:rsid w:val="4A5B015E"/>
    <w:rsid w:val="4A9A758D"/>
    <w:rsid w:val="4A9E3593"/>
    <w:rsid w:val="4AA131E8"/>
    <w:rsid w:val="4AC73716"/>
    <w:rsid w:val="4B072B65"/>
    <w:rsid w:val="4B6D4BA6"/>
    <w:rsid w:val="4BA27976"/>
    <w:rsid w:val="4BA9639F"/>
    <w:rsid w:val="4BDB782A"/>
    <w:rsid w:val="4BFB2AC3"/>
    <w:rsid w:val="4C0A7C9F"/>
    <w:rsid w:val="4C1F2D74"/>
    <w:rsid w:val="4C464F36"/>
    <w:rsid w:val="4C7C406A"/>
    <w:rsid w:val="4C930E8F"/>
    <w:rsid w:val="4CE77F8C"/>
    <w:rsid w:val="4CEB3ABD"/>
    <w:rsid w:val="4D876596"/>
    <w:rsid w:val="4D8D1EC5"/>
    <w:rsid w:val="4D907A68"/>
    <w:rsid w:val="4DAE66F5"/>
    <w:rsid w:val="4E261EF5"/>
    <w:rsid w:val="4EB31E77"/>
    <w:rsid w:val="4F0B3C6A"/>
    <w:rsid w:val="4F2673AF"/>
    <w:rsid w:val="4F2F0CCA"/>
    <w:rsid w:val="4F4B284C"/>
    <w:rsid w:val="4F5578B4"/>
    <w:rsid w:val="4F663440"/>
    <w:rsid w:val="4F953A68"/>
    <w:rsid w:val="4FD60D26"/>
    <w:rsid w:val="4FDD4FF2"/>
    <w:rsid w:val="500711C5"/>
    <w:rsid w:val="503B58B5"/>
    <w:rsid w:val="50693823"/>
    <w:rsid w:val="506E2A40"/>
    <w:rsid w:val="50926523"/>
    <w:rsid w:val="509B1804"/>
    <w:rsid w:val="50A17008"/>
    <w:rsid w:val="50AF3ACB"/>
    <w:rsid w:val="50D22DEB"/>
    <w:rsid w:val="5105101C"/>
    <w:rsid w:val="51476FB0"/>
    <w:rsid w:val="51796272"/>
    <w:rsid w:val="51865A95"/>
    <w:rsid w:val="518A305A"/>
    <w:rsid w:val="51A640D3"/>
    <w:rsid w:val="51C85032"/>
    <w:rsid w:val="525107CB"/>
    <w:rsid w:val="52584518"/>
    <w:rsid w:val="52A16E83"/>
    <w:rsid w:val="52F74D8F"/>
    <w:rsid w:val="534F0323"/>
    <w:rsid w:val="53570E7F"/>
    <w:rsid w:val="537E7A19"/>
    <w:rsid w:val="538B4929"/>
    <w:rsid w:val="53AB5356"/>
    <w:rsid w:val="53B3616D"/>
    <w:rsid w:val="54302C8F"/>
    <w:rsid w:val="544C3B33"/>
    <w:rsid w:val="54CC33AC"/>
    <w:rsid w:val="55107897"/>
    <w:rsid w:val="55131BDA"/>
    <w:rsid w:val="55593786"/>
    <w:rsid w:val="55B31F44"/>
    <w:rsid w:val="55B3421B"/>
    <w:rsid w:val="55CB1953"/>
    <w:rsid w:val="55CE7A3D"/>
    <w:rsid w:val="55CF1014"/>
    <w:rsid w:val="55DF6600"/>
    <w:rsid w:val="55EA275B"/>
    <w:rsid w:val="56036847"/>
    <w:rsid w:val="560F61E1"/>
    <w:rsid w:val="56363C3C"/>
    <w:rsid w:val="56444467"/>
    <w:rsid w:val="56572EED"/>
    <w:rsid w:val="565822CC"/>
    <w:rsid w:val="56792C61"/>
    <w:rsid w:val="567D1795"/>
    <w:rsid w:val="5689050F"/>
    <w:rsid w:val="569C6AE7"/>
    <w:rsid w:val="56C07B50"/>
    <w:rsid w:val="571867B6"/>
    <w:rsid w:val="572D4E45"/>
    <w:rsid w:val="5743441B"/>
    <w:rsid w:val="57C00F52"/>
    <w:rsid w:val="57D629E4"/>
    <w:rsid w:val="57F556CD"/>
    <w:rsid w:val="58CB1983"/>
    <w:rsid w:val="58CB24DE"/>
    <w:rsid w:val="58D868F7"/>
    <w:rsid w:val="58DD0E83"/>
    <w:rsid w:val="590E6D8D"/>
    <w:rsid w:val="59117C9B"/>
    <w:rsid w:val="591D4FE9"/>
    <w:rsid w:val="59363991"/>
    <w:rsid w:val="593D480C"/>
    <w:rsid w:val="59C979F5"/>
    <w:rsid w:val="5A5414DE"/>
    <w:rsid w:val="5A636363"/>
    <w:rsid w:val="5A88418E"/>
    <w:rsid w:val="5A9037E9"/>
    <w:rsid w:val="5AB36304"/>
    <w:rsid w:val="5B075BBA"/>
    <w:rsid w:val="5B3443CB"/>
    <w:rsid w:val="5B4B0C58"/>
    <w:rsid w:val="5B4F6A2E"/>
    <w:rsid w:val="5B63499C"/>
    <w:rsid w:val="5B956418"/>
    <w:rsid w:val="5BB600D6"/>
    <w:rsid w:val="5C1C284D"/>
    <w:rsid w:val="5C57108A"/>
    <w:rsid w:val="5CAF399C"/>
    <w:rsid w:val="5CF32FD5"/>
    <w:rsid w:val="5CFB58F2"/>
    <w:rsid w:val="5D7D0C63"/>
    <w:rsid w:val="5D904DE8"/>
    <w:rsid w:val="5E6C6396"/>
    <w:rsid w:val="5E9F7E1A"/>
    <w:rsid w:val="5EBC215E"/>
    <w:rsid w:val="5EBE03DE"/>
    <w:rsid w:val="5F0D52AC"/>
    <w:rsid w:val="5FB22786"/>
    <w:rsid w:val="5FDB586E"/>
    <w:rsid w:val="5FF83127"/>
    <w:rsid w:val="602E2614"/>
    <w:rsid w:val="602F5B87"/>
    <w:rsid w:val="60432F6C"/>
    <w:rsid w:val="607A5749"/>
    <w:rsid w:val="60D824F0"/>
    <w:rsid w:val="610C335D"/>
    <w:rsid w:val="6121031B"/>
    <w:rsid w:val="61217D5D"/>
    <w:rsid w:val="61236089"/>
    <w:rsid w:val="618149EB"/>
    <w:rsid w:val="61881C26"/>
    <w:rsid w:val="61AE33C2"/>
    <w:rsid w:val="61CD21C2"/>
    <w:rsid w:val="61EC16F8"/>
    <w:rsid w:val="620C679D"/>
    <w:rsid w:val="622475DF"/>
    <w:rsid w:val="623B329C"/>
    <w:rsid w:val="629436CB"/>
    <w:rsid w:val="63595D54"/>
    <w:rsid w:val="636D5F48"/>
    <w:rsid w:val="63CD397F"/>
    <w:rsid w:val="63EC4875"/>
    <w:rsid w:val="642955A9"/>
    <w:rsid w:val="6439079A"/>
    <w:rsid w:val="64463009"/>
    <w:rsid w:val="64512738"/>
    <w:rsid w:val="645C45F3"/>
    <w:rsid w:val="6460067D"/>
    <w:rsid w:val="64C10CCA"/>
    <w:rsid w:val="6549115B"/>
    <w:rsid w:val="65535CF8"/>
    <w:rsid w:val="659D0683"/>
    <w:rsid w:val="65B20E96"/>
    <w:rsid w:val="65E8520C"/>
    <w:rsid w:val="672F400B"/>
    <w:rsid w:val="67571B62"/>
    <w:rsid w:val="676F5F25"/>
    <w:rsid w:val="67AD58DD"/>
    <w:rsid w:val="67B839BB"/>
    <w:rsid w:val="67C50964"/>
    <w:rsid w:val="68405F5A"/>
    <w:rsid w:val="68610AEA"/>
    <w:rsid w:val="68812E46"/>
    <w:rsid w:val="68B301D4"/>
    <w:rsid w:val="68CB097B"/>
    <w:rsid w:val="68D36F9A"/>
    <w:rsid w:val="692B457A"/>
    <w:rsid w:val="69424991"/>
    <w:rsid w:val="695314FA"/>
    <w:rsid w:val="696D45E4"/>
    <w:rsid w:val="698509E8"/>
    <w:rsid w:val="69BD38E9"/>
    <w:rsid w:val="69C83ABA"/>
    <w:rsid w:val="69EA5480"/>
    <w:rsid w:val="6A337EBA"/>
    <w:rsid w:val="6A98596F"/>
    <w:rsid w:val="6AB1289C"/>
    <w:rsid w:val="6B1D3683"/>
    <w:rsid w:val="6B3D648C"/>
    <w:rsid w:val="6B4C3E88"/>
    <w:rsid w:val="6B912D9F"/>
    <w:rsid w:val="6BC65666"/>
    <w:rsid w:val="6BCD77F5"/>
    <w:rsid w:val="6C1E5760"/>
    <w:rsid w:val="6C2B477C"/>
    <w:rsid w:val="6C631A7B"/>
    <w:rsid w:val="6C7218B4"/>
    <w:rsid w:val="6C7A3280"/>
    <w:rsid w:val="6CB76E01"/>
    <w:rsid w:val="6CD305E3"/>
    <w:rsid w:val="6D2436DC"/>
    <w:rsid w:val="6D834BE1"/>
    <w:rsid w:val="6D9C1E53"/>
    <w:rsid w:val="6DEF214C"/>
    <w:rsid w:val="6E0B40B4"/>
    <w:rsid w:val="6E1C18FC"/>
    <w:rsid w:val="6E572C3C"/>
    <w:rsid w:val="6E8F5FB2"/>
    <w:rsid w:val="6EEF7EB8"/>
    <w:rsid w:val="6EF12A21"/>
    <w:rsid w:val="6EF366D8"/>
    <w:rsid w:val="6F0D0B21"/>
    <w:rsid w:val="6F0F73E5"/>
    <w:rsid w:val="6F2D4C40"/>
    <w:rsid w:val="6F5823CC"/>
    <w:rsid w:val="6F70463C"/>
    <w:rsid w:val="6FBB2BC9"/>
    <w:rsid w:val="6FBF685B"/>
    <w:rsid w:val="70551128"/>
    <w:rsid w:val="707656A7"/>
    <w:rsid w:val="708D3DFF"/>
    <w:rsid w:val="70CD6634"/>
    <w:rsid w:val="71112F7C"/>
    <w:rsid w:val="714812F3"/>
    <w:rsid w:val="7189122B"/>
    <w:rsid w:val="71924ADD"/>
    <w:rsid w:val="71C4547B"/>
    <w:rsid w:val="71D15EDD"/>
    <w:rsid w:val="71DE3A86"/>
    <w:rsid w:val="723474EE"/>
    <w:rsid w:val="72574FA8"/>
    <w:rsid w:val="727A17FA"/>
    <w:rsid w:val="728A670E"/>
    <w:rsid w:val="72A10E0E"/>
    <w:rsid w:val="72B11DA7"/>
    <w:rsid w:val="72DD1E17"/>
    <w:rsid w:val="735D1CFD"/>
    <w:rsid w:val="736C779A"/>
    <w:rsid w:val="7396754A"/>
    <w:rsid w:val="73B046F0"/>
    <w:rsid w:val="74097E80"/>
    <w:rsid w:val="741029BC"/>
    <w:rsid w:val="74534A0A"/>
    <w:rsid w:val="74803428"/>
    <w:rsid w:val="74A156C8"/>
    <w:rsid w:val="74A37864"/>
    <w:rsid w:val="74A811EB"/>
    <w:rsid w:val="74F3267F"/>
    <w:rsid w:val="75283257"/>
    <w:rsid w:val="753077A5"/>
    <w:rsid w:val="753B2B11"/>
    <w:rsid w:val="754F46A7"/>
    <w:rsid w:val="756A24B5"/>
    <w:rsid w:val="75EB579C"/>
    <w:rsid w:val="75F8418F"/>
    <w:rsid w:val="75FC14D9"/>
    <w:rsid w:val="760E0934"/>
    <w:rsid w:val="767F1BC4"/>
    <w:rsid w:val="76B3711D"/>
    <w:rsid w:val="77116777"/>
    <w:rsid w:val="772844BD"/>
    <w:rsid w:val="775141C4"/>
    <w:rsid w:val="778B5E28"/>
    <w:rsid w:val="77AE0554"/>
    <w:rsid w:val="77E315BD"/>
    <w:rsid w:val="77E93A01"/>
    <w:rsid w:val="787C76AB"/>
    <w:rsid w:val="78891FD6"/>
    <w:rsid w:val="79235285"/>
    <w:rsid w:val="7976490D"/>
    <w:rsid w:val="79C5674A"/>
    <w:rsid w:val="7A4260B6"/>
    <w:rsid w:val="7A8807B2"/>
    <w:rsid w:val="7B2A5291"/>
    <w:rsid w:val="7B4B6B19"/>
    <w:rsid w:val="7B805EB2"/>
    <w:rsid w:val="7BC4653E"/>
    <w:rsid w:val="7BD051C5"/>
    <w:rsid w:val="7BDC3A65"/>
    <w:rsid w:val="7C4A144A"/>
    <w:rsid w:val="7C4A2028"/>
    <w:rsid w:val="7C842A30"/>
    <w:rsid w:val="7CCF128B"/>
    <w:rsid w:val="7D0265B4"/>
    <w:rsid w:val="7D0D36A2"/>
    <w:rsid w:val="7D35735C"/>
    <w:rsid w:val="7D4219EF"/>
    <w:rsid w:val="7D476AF6"/>
    <w:rsid w:val="7D9868D2"/>
    <w:rsid w:val="7E2D4EAF"/>
    <w:rsid w:val="7E391730"/>
    <w:rsid w:val="7E48369B"/>
    <w:rsid w:val="7F6C1826"/>
    <w:rsid w:val="7F8D3AFC"/>
    <w:rsid w:val="7FA175CC"/>
    <w:rsid w:val="7FC526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cs="Times New Roman"/>
      <w:b/>
      <w:kern w:val="44"/>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spacing w:line="440" w:lineRule="exact"/>
      <w:ind w:firstLine="420" w:firstLineChars="200"/>
    </w:pPr>
    <w:rPr>
      <w:rFonts w:ascii="宋体" w:hAnsi="宋体"/>
      <w:szCs w:val="24"/>
    </w:rPr>
  </w:style>
  <w:style w:type="paragraph" w:styleId="4">
    <w:name w:val="Balloon Text"/>
    <w:basedOn w:val="1"/>
    <w:link w:val="12"/>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semiHidden/>
    <w:qFormat/>
    <w:uiPriority w:val="99"/>
    <w:rPr>
      <w:rFonts w:ascii="Times New Roman" w:hAnsi="Times New Roman" w:cs="Times New Roman"/>
      <w:sz w:val="24"/>
      <w:szCs w:val="24"/>
    </w:rPr>
  </w:style>
  <w:style w:type="character" w:styleId="10">
    <w:name w:val="Hyperlink"/>
    <w:basedOn w:val="9"/>
    <w:qFormat/>
    <w:uiPriority w:val="0"/>
    <w:rPr>
      <w:color w:val="0000FF"/>
      <w:u w:val="single"/>
    </w:rPr>
  </w:style>
  <w:style w:type="paragraph" w:styleId="11">
    <w:name w:val="List Paragraph"/>
    <w:basedOn w:val="1"/>
    <w:unhideWhenUsed/>
    <w:qFormat/>
    <w:uiPriority w:val="99"/>
    <w:pPr>
      <w:ind w:firstLine="420" w:firstLineChars="200"/>
    </w:pPr>
  </w:style>
  <w:style w:type="character" w:customStyle="1" w:styleId="12">
    <w:name w:val="批注框文本 Char"/>
    <w:basedOn w:val="9"/>
    <w:link w:val="4"/>
    <w:qFormat/>
    <w:uiPriority w:val="0"/>
    <w:rPr>
      <w:rFonts w:cs="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Pages>
  <Words>704</Words>
  <Characters>4016</Characters>
  <Lines>33</Lines>
  <Paragraphs>9</Paragraphs>
  <TotalTime>69</TotalTime>
  <ScaleCrop>false</ScaleCrop>
  <LinksUpToDate>false</LinksUpToDate>
  <CharactersWithSpaces>4711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2021-05-08T01:16:00Z</dcterms:created>
  <dc:creator>NTKO</dc:creator>
  <cp:lastModifiedBy>WPS_1622768935</cp:lastModifiedBy>
  <cp:lastPrinted>2021-07-20T06:06:49Z</cp:lastPrinted>
  <dcterms:modified xsi:type="dcterms:W3CDTF">2021-07-20T07:11:08Z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