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0F" w:rsidRDefault="00E7258B" w:rsidP="007D1C20">
      <w:pPr>
        <w:spacing w:beforeLines="100" w:afterLines="100" w:line="560" w:lineRule="exact"/>
        <w:jc w:val="left"/>
        <w:rPr>
          <w:rFonts w:ascii="宋体" w:hAnsi="宋体" w:cs="宋体"/>
          <w:bCs/>
          <w:kern w:val="0"/>
          <w:sz w:val="32"/>
          <w:szCs w:val="32"/>
        </w:rPr>
      </w:pPr>
      <w:r>
        <w:rPr>
          <w:rFonts w:ascii="宋体" w:hAnsi="宋体" w:cs="宋体" w:hint="eastAsia"/>
          <w:bCs/>
          <w:kern w:val="0"/>
          <w:sz w:val="32"/>
          <w:szCs w:val="32"/>
        </w:rPr>
        <w:t>附件</w:t>
      </w:r>
      <w:bookmarkStart w:id="0" w:name="_GoBack"/>
      <w:bookmarkEnd w:id="0"/>
      <w:r w:rsidR="007D1C20">
        <w:rPr>
          <w:rFonts w:ascii="宋体" w:hAnsi="宋体" w:cs="宋体" w:hint="eastAsia"/>
          <w:bCs/>
          <w:kern w:val="0"/>
          <w:sz w:val="32"/>
          <w:szCs w:val="32"/>
        </w:rPr>
        <w:t>2</w:t>
      </w:r>
    </w:p>
    <w:p w:rsidR="00CC550F" w:rsidRDefault="00E7258B" w:rsidP="007D1C20">
      <w:pPr>
        <w:spacing w:beforeLines="100" w:afterLines="100" w:line="56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关于《苏州市养犬管理条例》的修改说明</w:t>
      </w:r>
    </w:p>
    <w:p w:rsidR="00CC550F" w:rsidRDefault="00E725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《苏州市养犬管理条例》</w:t>
      </w:r>
      <w:r>
        <w:rPr>
          <w:rFonts w:eastAsia="仿宋_GB2312"/>
          <w:sz w:val="32"/>
          <w:szCs w:val="32"/>
        </w:rPr>
        <w:t>（以下简称《条例》）</w:t>
      </w:r>
      <w:r>
        <w:rPr>
          <w:rFonts w:ascii="仿宋_GB2312" w:eastAsia="仿宋_GB2312" w:hAnsi="仿宋_GB2312" w:cs="仿宋_GB2312" w:hint="eastAsia"/>
          <w:kern w:val="0"/>
          <w:sz w:val="32"/>
          <w:szCs w:val="32"/>
        </w:rPr>
        <w:t>于2006年8月31日苏州市第十三届人民代表大会常务委员会第二十八次会议制定，2006年9月27日江苏省第十届人民代表大会常务委员会第二十五次会议批准。2018年8月24日苏州市第十六届人民代表大会常务委员会第十四次会议修订，2018年9月21日江苏省第十三届人民代表大会常务委员会第五次会议批准。</w:t>
      </w:r>
    </w:p>
    <w:p w:rsidR="00CC550F" w:rsidRDefault="00E7258B">
      <w:pPr>
        <w:spacing w:line="600" w:lineRule="exact"/>
        <w:ind w:firstLine="660"/>
        <w:rPr>
          <w:rFonts w:eastAsia="黑体"/>
          <w:sz w:val="32"/>
          <w:szCs w:val="32"/>
        </w:rPr>
      </w:pPr>
      <w:r>
        <w:rPr>
          <w:rFonts w:eastAsia="黑体"/>
          <w:sz w:val="32"/>
          <w:szCs w:val="32"/>
        </w:rPr>
        <w:t>一、修改的必要性</w:t>
      </w:r>
    </w:p>
    <w:p w:rsidR="00CC550F" w:rsidRDefault="00E7258B">
      <w:pPr>
        <w:spacing w:line="600" w:lineRule="exact"/>
        <w:ind w:firstLine="660"/>
        <w:rPr>
          <w:rFonts w:eastAsia="仿宋_GB2312"/>
          <w:sz w:val="32"/>
          <w:szCs w:val="32"/>
        </w:rPr>
      </w:pPr>
      <w:r>
        <w:rPr>
          <w:rFonts w:eastAsia="仿宋_GB2312"/>
          <w:sz w:val="32"/>
          <w:szCs w:val="32"/>
        </w:rPr>
        <w:t>《条例》</w:t>
      </w:r>
      <w:r>
        <w:rPr>
          <w:rFonts w:eastAsia="仿宋_GB2312" w:hint="eastAsia"/>
          <w:sz w:val="32"/>
          <w:szCs w:val="32"/>
        </w:rPr>
        <w:t>实施以来</w:t>
      </w:r>
      <w:r>
        <w:rPr>
          <w:rFonts w:eastAsia="仿宋_GB2312"/>
          <w:sz w:val="32"/>
          <w:szCs w:val="32"/>
        </w:rPr>
        <w:t>，在加强苏州市</w:t>
      </w:r>
      <w:r>
        <w:rPr>
          <w:rFonts w:eastAsia="仿宋_GB2312" w:hint="eastAsia"/>
          <w:sz w:val="32"/>
          <w:szCs w:val="32"/>
        </w:rPr>
        <w:t>养犬管理工作</w:t>
      </w:r>
      <w:r>
        <w:rPr>
          <w:rFonts w:eastAsia="仿宋_GB2312"/>
          <w:sz w:val="32"/>
          <w:szCs w:val="32"/>
        </w:rPr>
        <w:t>方面发挥了重要作用。</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月《中华人民共和国动物防疫法》修订，并于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w:t>
      </w:r>
      <w:r>
        <w:rPr>
          <w:rFonts w:eastAsia="仿宋_GB2312" w:hint="eastAsia"/>
          <w:sz w:val="32"/>
          <w:szCs w:val="32"/>
        </w:rPr>
        <w:t>日实施。而我市《苏州市养犬管理条例》中关于狂犬病疫苗免疫证明出具机构、犬只免疫工作的职责分工、未按规定对动物狂犬病免疫行为的罚款处罚幅度等规定与上位法有诸多不一致，</w:t>
      </w:r>
      <w:r>
        <w:rPr>
          <w:rFonts w:eastAsia="仿宋_GB2312"/>
          <w:sz w:val="32"/>
          <w:szCs w:val="32"/>
        </w:rPr>
        <w:t>为</w:t>
      </w:r>
      <w:r>
        <w:rPr>
          <w:rFonts w:eastAsia="仿宋_GB2312" w:hint="eastAsia"/>
          <w:sz w:val="32"/>
          <w:szCs w:val="32"/>
        </w:rPr>
        <w:t>保证条例与上位法一致，并不断强化养犬管理措施，</w:t>
      </w:r>
      <w:r>
        <w:rPr>
          <w:rFonts w:eastAsia="仿宋_GB2312"/>
          <w:sz w:val="32"/>
          <w:szCs w:val="32"/>
        </w:rPr>
        <w:t>根据市人大常委会</w:t>
      </w:r>
      <w:r>
        <w:rPr>
          <w:rFonts w:eastAsia="仿宋_GB2312" w:hint="eastAsia"/>
          <w:sz w:val="32"/>
          <w:szCs w:val="32"/>
        </w:rPr>
        <w:t>2022</w:t>
      </w:r>
      <w:r>
        <w:rPr>
          <w:rFonts w:eastAsia="仿宋_GB2312" w:hint="eastAsia"/>
          <w:sz w:val="32"/>
          <w:szCs w:val="32"/>
        </w:rPr>
        <w:t>年立法计划</w:t>
      </w:r>
      <w:r>
        <w:rPr>
          <w:rFonts w:eastAsia="仿宋_GB2312"/>
          <w:sz w:val="32"/>
          <w:szCs w:val="32"/>
        </w:rPr>
        <w:t>，我局</w:t>
      </w:r>
      <w:r>
        <w:rPr>
          <w:rFonts w:eastAsia="仿宋_GB2312" w:hint="eastAsia"/>
          <w:sz w:val="32"/>
          <w:szCs w:val="32"/>
        </w:rPr>
        <w:t>会同市农业农村局</w:t>
      </w:r>
      <w:r>
        <w:rPr>
          <w:rFonts w:eastAsia="仿宋_GB2312"/>
          <w:sz w:val="32"/>
          <w:szCs w:val="32"/>
        </w:rPr>
        <w:t>对《</w:t>
      </w:r>
      <w:r>
        <w:rPr>
          <w:rFonts w:eastAsia="仿宋_GB2312" w:hint="eastAsia"/>
          <w:sz w:val="32"/>
          <w:szCs w:val="32"/>
        </w:rPr>
        <w:t>条例</w:t>
      </w:r>
      <w:r>
        <w:rPr>
          <w:rFonts w:eastAsia="仿宋_GB2312"/>
          <w:sz w:val="32"/>
          <w:szCs w:val="32"/>
        </w:rPr>
        <w:t>》</w:t>
      </w:r>
      <w:r>
        <w:rPr>
          <w:rFonts w:eastAsia="仿宋_GB2312" w:hint="eastAsia"/>
          <w:sz w:val="32"/>
          <w:szCs w:val="32"/>
        </w:rPr>
        <w:t>与</w:t>
      </w:r>
      <w:r>
        <w:rPr>
          <w:rFonts w:eastAsia="仿宋_GB2312"/>
          <w:sz w:val="32"/>
          <w:szCs w:val="32"/>
        </w:rPr>
        <w:t>上位法不一致的条款进行了全面清理和修改</w:t>
      </w:r>
      <w:r>
        <w:rPr>
          <w:rFonts w:eastAsia="仿宋_GB2312" w:hint="eastAsia"/>
          <w:sz w:val="32"/>
          <w:szCs w:val="32"/>
        </w:rPr>
        <w:t>，同时对部分条款进行了完善</w:t>
      </w:r>
      <w:r>
        <w:rPr>
          <w:rFonts w:eastAsia="仿宋_GB2312"/>
          <w:sz w:val="32"/>
          <w:szCs w:val="32"/>
        </w:rPr>
        <w:t>。</w:t>
      </w:r>
    </w:p>
    <w:p w:rsidR="00CC550F" w:rsidRDefault="00E7258B">
      <w:pPr>
        <w:spacing w:line="600" w:lineRule="exact"/>
        <w:ind w:firstLine="660"/>
        <w:rPr>
          <w:rFonts w:eastAsia="黑体"/>
          <w:sz w:val="32"/>
          <w:szCs w:val="32"/>
        </w:rPr>
      </w:pPr>
      <w:r>
        <w:rPr>
          <w:rFonts w:eastAsia="黑体"/>
          <w:sz w:val="32"/>
          <w:szCs w:val="32"/>
        </w:rPr>
        <w:t>二、主要法律依据</w:t>
      </w:r>
    </w:p>
    <w:p w:rsidR="00CC550F" w:rsidRDefault="00E7258B">
      <w:pPr>
        <w:spacing w:line="600" w:lineRule="exact"/>
        <w:ind w:firstLine="660"/>
        <w:rPr>
          <w:rFonts w:eastAsia="仿宋_GB2312"/>
          <w:sz w:val="32"/>
          <w:szCs w:val="32"/>
        </w:rPr>
      </w:pPr>
      <w:r>
        <w:rPr>
          <w:rFonts w:eastAsia="仿宋_GB2312"/>
          <w:sz w:val="32"/>
          <w:szCs w:val="32"/>
        </w:rPr>
        <w:t>《中华人民共和国动物防疫法》</w:t>
      </w:r>
    </w:p>
    <w:p w:rsidR="00CC550F" w:rsidRDefault="00E7258B">
      <w:pPr>
        <w:spacing w:line="600" w:lineRule="exact"/>
        <w:ind w:firstLine="660"/>
        <w:rPr>
          <w:rFonts w:eastAsia="黑体"/>
          <w:sz w:val="32"/>
          <w:szCs w:val="32"/>
        </w:rPr>
      </w:pPr>
      <w:r>
        <w:rPr>
          <w:rFonts w:eastAsia="黑体"/>
          <w:sz w:val="32"/>
          <w:szCs w:val="32"/>
        </w:rPr>
        <w:lastRenderedPageBreak/>
        <w:t>三、修改的原则</w:t>
      </w:r>
    </w:p>
    <w:p w:rsidR="00CC550F" w:rsidRDefault="00E7258B" w:rsidP="007D1C20">
      <w:pPr>
        <w:autoSpaceDE w:val="0"/>
        <w:spacing w:line="600" w:lineRule="exact"/>
        <w:ind w:firstLineChars="200" w:firstLine="640"/>
        <w:rPr>
          <w:rFonts w:eastAsia="楷体_GB2312"/>
          <w:b/>
          <w:sz w:val="32"/>
          <w:szCs w:val="32"/>
        </w:rPr>
      </w:pPr>
      <w:r>
        <w:rPr>
          <w:rFonts w:eastAsia="楷体_GB2312"/>
          <w:b/>
          <w:sz w:val="32"/>
          <w:szCs w:val="32"/>
        </w:rPr>
        <w:t>（一）坚持法制统一</w:t>
      </w:r>
    </w:p>
    <w:p w:rsidR="00CC550F" w:rsidRDefault="00E7258B">
      <w:pPr>
        <w:spacing w:line="600" w:lineRule="exact"/>
        <w:ind w:firstLine="660"/>
        <w:rPr>
          <w:rFonts w:eastAsia="仿宋_GB2312"/>
          <w:sz w:val="32"/>
          <w:szCs w:val="32"/>
        </w:rPr>
      </w:pPr>
      <w:r>
        <w:rPr>
          <w:rFonts w:eastAsia="仿宋_GB2312"/>
          <w:sz w:val="32"/>
          <w:szCs w:val="32"/>
        </w:rPr>
        <w:t>《条例》的上位法已经规定的按照上位法执行，</w:t>
      </w:r>
      <w:r>
        <w:rPr>
          <w:rFonts w:eastAsia="仿宋_GB2312"/>
          <w:sz w:val="32"/>
          <w:szCs w:val="32"/>
        </w:rPr>
        <w:t xml:space="preserve"> </w:t>
      </w:r>
      <w:r>
        <w:rPr>
          <w:rFonts w:eastAsia="仿宋_GB2312"/>
          <w:sz w:val="32"/>
          <w:szCs w:val="32"/>
        </w:rPr>
        <w:t>本《条例》结合苏州实际的特有条款参照上位法设置。</w:t>
      </w:r>
    </w:p>
    <w:p w:rsidR="00CC550F" w:rsidRDefault="00E7258B">
      <w:pPr>
        <w:autoSpaceDE w:val="0"/>
        <w:spacing w:line="600" w:lineRule="exact"/>
        <w:ind w:left="640"/>
        <w:rPr>
          <w:rFonts w:eastAsia="楷体_GB2312"/>
          <w:b/>
          <w:sz w:val="32"/>
          <w:szCs w:val="32"/>
        </w:rPr>
      </w:pPr>
      <w:r>
        <w:rPr>
          <w:rFonts w:eastAsia="仿宋_GB2312"/>
          <w:b/>
          <w:sz w:val="32"/>
          <w:szCs w:val="32"/>
        </w:rPr>
        <w:t>（二）</w:t>
      </w:r>
      <w:r>
        <w:rPr>
          <w:rFonts w:eastAsia="楷体_GB2312"/>
          <w:b/>
          <w:sz w:val="32"/>
          <w:szCs w:val="32"/>
        </w:rPr>
        <w:t>保持法律稳定性</w:t>
      </w:r>
    </w:p>
    <w:p w:rsidR="00CC550F" w:rsidRDefault="00E7258B">
      <w:pPr>
        <w:spacing w:line="600" w:lineRule="exact"/>
        <w:ind w:firstLine="660"/>
        <w:rPr>
          <w:rFonts w:eastAsia="仿宋_GB2312"/>
          <w:sz w:val="32"/>
          <w:szCs w:val="32"/>
        </w:rPr>
      </w:pPr>
      <w:r>
        <w:rPr>
          <w:rFonts w:eastAsia="仿宋_GB2312"/>
          <w:sz w:val="32"/>
          <w:szCs w:val="32"/>
        </w:rPr>
        <w:t>本次修改尽量减少对《条例》的改动，有其他上位法可以作为依据的，不再融合进《条例》中。</w:t>
      </w:r>
    </w:p>
    <w:p w:rsidR="00CC550F" w:rsidRDefault="00E7258B">
      <w:pPr>
        <w:autoSpaceDE w:val="0"/>
        <w:spacing w:line="600" w:lineRule="exact"/>
        <w:ind w:left="640"/>
        <w:rPr>
          <w:rFonts w:eastAsia="仿宋_GB2312"/>
          <w:b/>
          <w:sz w:val="32"/>
          <w:szCs w:val="32"/>
        </w:rPr>
      </w:pPr>
      <w:r>
        <w:rPr>
          <w:rFonts w:eastAsia="仿宋_GB2312"/>
          <w:b/>
          <w:sz w:val="32"/>
          <w:szCs w:val="32"/>
        </w:rPr>
        <w:t>（三）配合机构改革</w:t>
      </w:r>
    </w:p>
    <w:p w:rsidR="00CC550F" w:rsidRDefault="00E7258B">
      <w:pPr>
        <w:autoSpaceDE w:val="0"/>
        <w:spacing w:line="600" w:lineRule="exact"/>
        <w:ind w:firstLineChars="200" w:firstLine="640"/>
        <w:rPr>
          <w:rFonts w:eastAsia="仿宋_GB2312"/>
          <w:sz w:val="32"/>
          <w:szCs w:val="32"/>
        </w:rPr>
      </w:pPr>
      <w:r>
        <w:rPr>
          <w:rFonts w:eastAsia="仿宋_GB2312"/>
          <w:sz w:val="32"/>
          <w:szCs w:val="32"/>
        </w:rPr>
        <w:t>重点排查涉及机构改革的条款，机构改革所涉的名称变动在本次修改过程中作为重点。</w:t>
      </w:r>
    </w:p>
    <w:p w:rsidR="00CC550F" w:rsidRDefault="00E7258B">
      <w:pPr>
        <w:autoSpaceDE w:val="0"/>
        <w:spacing w:line="600" w:lineRule="exact"/>
        <w:ind w:firstLineChars="200" w:firstLine="640"/>
        <w:rPr>
          <w:rFonts w:eastAsia="黑体"/>
          <w:sz w:val="32"/>
          <w:szCs w:val="32"/>
        </w:rPr>
      </w:pPr>
      <w:r>
        <w:rPr>
          <w:rFonts w:eastAsia="黑体"/>
          <w:sz w:val="32"/>
          <w:szCs w:val="32"/>
        </w:rPr>
        <w:t>四、主要修改</w:t>
      </w:r>
      <w:r>
        <w:rPr>
          <w:rFonts w:eastAsia="黑体" w:hint="eastAsia"/>
          <w:sz w:val="32"/>
          <w:szCs w:val="32"/>
        </w:rPr>
        <w:t>内容</w:t>
      </w:r>
    </w:p>
    <w:p w:rsidR="00CC550F" w:rsidRDefault="00E725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一、将《条例》中的畜牧兽医部门统一修改为农业农村部门，和《动物防疫法》中的表述保持一致。</w:t>
      </w:r>
    </w:p>
    <w:p w:rsidR="00CC550F" w:rsidRDefault="00E7258B">
      <w:pPr>
        <w:pStyle w:val="a8"/>
      </w:pPr>
      <w:r>
        <w:rPr>
          <w:rFonts w:hint="eastAsia"/>
        </w:rPr>
        <w:t>二、《动物防疫法》第三条、第九条、第十一条、第七十四条及第三十条规定了农业农村主管部门、动物卫生监督机构、街道办事处、乡级人民政府</w:t>
      </w:r>
      <w:r>
        <w:rPr>
          <w:rFonts w:hint="eastAsia"/>
          <w:color w:val="000000"/>
        </w:rPr>
        <w:t>的</w:t>
      </w:r>
      <w:r>
        <w:rPr>
          <w:rFonts w:hint="eastAsia"/>
        </w:rPr>
        <w:t>相关职能，为确保与《动物防疫法》规定的部门职能一致，拟将《条例》第五条第二款修改为：“农业农村部门负责犬只免疫、防疫监督管理，依法实施动物防疫条件许可和动物诊疗许可，监督指导</w:t>
      </w:r>
      <w:r>
        <w:rPr>
          <w:rFonts w:hint="eastAsia"/>
          <w:shd w:val="clear" w:color="auto" w:fill="FFFFFF"/>
        </w:rPr>
        <w:t>犬尸</w:t>
      </w:r>
      <w:r>
        <w:rPr>
          <w:rFonts w:hint="eastAsia"/>
        </w:rPr>
        <w:t>的无害化处理工作。动物卫生监督机构负责犬只的检疫工作”，并增设第八款“街道办事处、乡级人民政府应当组织协调居民委员会、村民委员会，做好本辖区流浪犬的控制和处置”。</w:t>
      </w:r>
    </w:p>
    <w:p w:rsidR="00CC550F" w:rsidRDefault="00E7258B">
      <w:pPr>
        <w:pStyle w:val="a8"/>
        <w:rPr>
          <w:shd w:val="clear" w:color="auto" w:fill="FFFFFF"/>
        </w:rPr>
      </w:pPr>
      <w:r>
        <w:rPr>
          <w:rFonts w:hint="eastAsia"/>
        </w:rPr>
        <w:t>有必要说明的是，对于犬只的无害化处理工作，农业农</w:t>
      </w:r>
      <w:r>
        <w:rPr>
          <w:rFonts w:hint="eastAsia"/>
        </w:rPr>
        <w:lastRenderedPageBreak/>
        <w:t>村部门的主要职责是监督指导，并非具体实施部门。考虑到多年来相关工作的实际开展情况，为今后继续配合好公安机关做好流浪犬只的管理，仍然保留《条例》第二十六条第二款“</w:t>
      </w:r>
      <w:r>
        <w:rPr>
          <w:rFonts w:hint="eastAsia"/>
          <w:shd w:val="clear" w:color="auto" w:fill="FFFFFF"/>
        </w:rPr>
        <w:t>农业农村部门应当对收容的犬只依法需要进行无害化处理的，由农业农村部门负责</w:t>
      </w:r>
      <w:r>
        <w:rPr>
          <w:rFonts w:hint="eastAsia"/>
        </w:rPr>
        <w:t>”</w:t>
      </w:r>
      <w:r>
        <w:rPr>
          <w:rFonts w:hint="eastAsia"/>
          <w:shd w:val="clear" w:color="auto" w:fill="FFFFFF"/>
        </w:rPr>
        <w:t>的规定。</w:t>
      </w:r>
    </w:p>
    <w:p w:rsidR="00B45151" w:rsidRDefault="00E46B93">
      <w:pPr>
        <w:pStyle w:val="a8"/>
        <w:rPr>
          <w:shd w:val="clear" w:color="auto" w:fill="FFFFFF"/>
        </w:rPr>
      </w:pPr>
      <w:r>
        <w:rPr>
          <w:rFonts w:hint="eastAsia"/>
          <w:shd w:val="clear" w:color="auto" w:fill="FFFFFF"/>
        </w:rPr>
        <w:t>还有必要说明的是，经市公安党委研究认为</w:t>
      </w:r>
      <w:r w:rsidR="00B45151">
        <w:rPr>
          <w:rFonts w:hint="eastAsia"/>
          <w:shd w:val="clear" w:color="auto" w:fill="FFFFFF"/>
        </w:rPr>
        <w:t>，</w:t>
      </w:r>
      <w:r>
        <w:rPr>
          <w:rFonts w:hint="eastAsia"/>
          <w:shd w:val="clear" w:color="auto" w:fill="FFFFFF"/>
        </w:rPr>
        <w:t>对《条例》第五条第一款还是</w:t>
      </w:r>
      <w:r w:rsidR="00B45151">
        <w:rPr>
          <w:rFonts w:hint="eastAsia"/>
          <w:shd w:val="clear" w:color="auto" w:fill="FFFFFF"/>
        </w:rPr>
        <w:t>应与</w:t>
      </w:r>
      <w:r>
        <w:rPr>
          <w:rFonts w:hint="eastAsia"/>
          <w:shd w:val="clear" w:color="auto" w:fill="FFFFFF"/>
        </w:rPr>
        <w:t>上位法保持一致</w:t>
      </w:r>
      <w:r w:rsidR="005F4BAB">
        <w:rPr>
          <w:rFonts w:hint="eastAsia"/>
          <w:shd w:val="clear" w:color="auto" w:fill="FFFFFF"/>
        </w:rPr>
        <w:t>作</w:t>
      </w:r>
      <w:r w:rsidR="00E60D37">
        <w:rPr>
          <w:rFonts w:hint="eastAsia"/>
          <w:shd w:val="clear" w:color="auto" w:fill="FFFFFF"/>
        </w:rPr>
        <w:t>必要</w:t>
      </w:r>
      <w:r>
        <w:rPr>
          <w:rFonts w:hint="eastAsia"/>
          <w:shd w:val="clear" w:color="auto" w:fill="FFFFFF"/>
        </w:rPr>
        <w:t>修改。</w:t>
      </w:r>
    </w:p>
    <w:p w:rsidR="00CC550F" w:rsidRDefault="00E7258B">
      <w:pPr>
        <w:pStyle w:val="a8"/>
      </w:pPr>
      <w:r>
        <w:rPr>
          <w:rFonts w:hint="eastAsia"/>
        </w:rPr>
        <w:t>三、根据《动物防疫法》第三十条的规定，犬只免疫后，由动物诊疗机构出具免疫证明。因此，将《条例》中所有“</w:t>
      </w:r>
      <w:r>
        <w:rPr>
          <w:rFonts w:hint="eastAsia"/>
          <w:shd w:val="clear" w:color="auto" w:fill="FFFFFF"/>
        </w:rPr>
        <w:t>畜牧兽医部门印发的动物狂犬病免疫证明</w:t>
      </w:r>
      <w:r>
        <w:rPr>
          <w:rFonts w:hint="eastAsia"/>
        </w:rPr>
        <w:t>”统一修改为“动物诊疗机构出具的动物狂犬病免疫证明”。</w:t>
      </w:r>
    </w:p>
    <w:p w:rsidR="00CC550F" w:rsidRDefault="00E7258B">
      <w:pPr>
        <w:pStyle w:val="a8"/>
      </w:pPr>
      <w:r>
        <w:rPr>
          <w:rFonts w:hint="eastAsia"/>
        </w:rPr>
        <w:t>为切实加强犬只免疫管理工作，延续之前免疫管理方面的先进做法，确保做到规范管理，拟在《条例》第十条中增加“免疫证明格式由农业农村部门统一制定。动物诊疗机构应将犬只免疫信息及时录入犬只免疫管理平台。”</w:t>
      </w:r>
    </w:p>
    <w:p w:rsidR="00CC550F" w:rsidRDefault="00E7258B">
      <w:pPr>
        <w:spacing w:line="560" w:lineRule="exact"/>
        <w:ind w:firstLineChars="200" w:firstLine="640"/>
        <w:rPr>
          <w:rFonts w:ascii="仿宋_GB2312" w:eastAsia="仿宋_GB2312" w:hAnsi="宋体"/>
          <w:sz w:val="32"/>
          <w:szCs w:val="32"/>
          <w:highlight w:val="yellow"/>
        </w:rPr>
      </w:pPr>
      <w:r>
        <w:rPr>
          <w:rFonts w:ascii="仿宋_GB2312" w:eastAsia="仿宋_GB2312" w:hAnsi="仿宋_GB2312" w:cs="仿宋_GB2312" w:hint="eastAsia"/>
          <w:sz w:val="32"/>
          <w:szCs w:val="32"/>
        </w:rPr>
        <w:t>四、由于出具免疫证明的主体变更了，拟将《条例》第十条第二款“畜牧兽医部门应当按照合理布局、方便接种的原则设置犬只狂犬病免疫点，也可以委托符合条件的动物诊疗机构开展犬只狂犬病免疫接种工作，并向社会公布”以及《条例》第十一条“并会同农业农村部门采取措施，逐步实现犬只的狂犬病免疫与养犬登记在同一场所办理”全部删除。</w:t>
      </w:r>
    </w:p>
    <w:p w:rsidR="00CC550F" w:rsidRDefault="00E7258B">
      <w:pPr>
        <w:pStyle w:val="a8"/>
        <w:rPr>
          <w:spacing w:val="15"/>
        </w:rPr>
      </w:pPr>
      <w:r>
        <w:rPr>
          <w:rFonts w:hint="eastAsia"/>
        </w:rPr>
        <w:t>五、根据《动物防疫法》第五十七、第五十八条关于病死动物无害化处理的规定，拟将《条例》相关内容进行修改，</w:t>
      </w:r>
      <w:r>
        <w:rPr>
          <w:rFonts w:hint="eastAsia"/>
        </w:rPr>
        <w:lastRenderedPageBreak/>
        <w:t>进一步明确有关单位（个人）相关责任，建议在第二十五条中增加两款分别作为第三款、第四款：“在江河、湖泊、水库等水域发现的死亡犬只，由所在地市、县级市（区）人民政府组织收集、处理并溯源。”“在城市公共场所和乡村发现的死亡犬只，由所在地街道办事处、乡级人民政府组织收集、处理并溯源。”</w:t>
      </w:r>
    </w:p>
    <w:p w:rsidR="00CC550F" w:rsidRDefault="00E725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六、将《条例》第三十一条与《动物防疫法》保持一致，明确违反犬只免疫规定的罚则，建议修改为“</w:t>
      </w:r>
      <w:r>
        <w:rPr>
          <w:rFonts w:ascii="仿宋_GB2312" w:eastAsia="仿宋_GB2312" w:hAnsi="仿宋_GB2312" w:cs="仿宋_GB2312" w:hint="eastAsia"/>
          <w:sz w:val="32"/>
          <w:szCs w:val="32"/>
        </w:rPr>
        <w:t>违反本条例第十条第一款规定，未对犬龄满三个月或者免疫间隔期满的犬只进行动物狂犬病免疫的，由农业农村部门责令限期改正，可以处一千元以下罚款；逾期不改正的，处一千元以上五千元以下罚款，由农业农村部门委托动物诊疗机构代为处理，所需处理费用由养犬人承担。”</w:t>
      </w:r>
    </w:p>
    <w:p w:rsidR="00CC550F" w:rsidRDefault="00E7258B">
      <w:pPr>
        <w:pStyle w:val="a8"/>
      </w:pPr>
      <w:r>
        <w:rPr>
          <w:rFonts w:hint="eastAsia"/>
        </w:rPr>
        <w:t xml:space="preserve">  七、《条例》第三十二条“责令养犬人在三个工作日内补办手续”在执法实践中对后续罚则的适用产生影响。根据《苏州市养犬管理条例》规定，对于本条例施行后，在重点管理区域内饲养一条以上犬只的，不能补办手续。建议将该款修改为“养犬未经登记的，由公安机关责令养犬人在三个工作日内限期改正；逾期不改正的，对单位处以二千元以上一万元以下罚款，对个人处以三百元以上二千元以下罚款，并没收犬只。”</w:t>
      </w:r>
    </w:p>
    <w:p w:rsidR="00CC550F" w:rsidRDefault="00E7258B">
      <w:pPr>
        <w:spacing w:line="560" w:lineRule="exact"/>
        <w:ind w:firstLineChars="1300" w:firstLine="41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苏州市公安局    </w:t>
      </w:r>
    </w:p>
    <w:p w:rsidR="00CC550F" w:rsidRDefault="00E7258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2022年4月15日</w:t>
      </w:r>
    </w:p>
    <w:p w:rsidR="00CC550F" w:rsidRDefault="00CC550F">
      <w:pPr>
        <w:pStyle w:val="a8"/>
      </w:pPr>
    </w:p>
    <w:sectPr w:rsidR="00CC550F" w:rsidSect="00CC550F">
      <w:footerReference w:type="default" r:id="rId7"/>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E4" w:rsidRDefault="00FD17E4" w:rsidP="00CC550F">
      <w:r>
        <w:separator/>
      </w:r>
    </w:p>
  </w:endnote>
  <w:endnote w:type="continuationSeparator" w:id="0">
    <w:p w:rsidR="00FD17E4" w:rsidRDefault="00FD17E4" w:rsidP="00CC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0F" w:rsidRDefault="0029023F">
    <w:pPr>
      <w:pStyle w:val="a6"/>
    </w:pPr>
    <w:r>
      <w:pict>
        <v:rect id="文本框 1" o:spid="_x0000_s2049" style="position:absolute;margin-left:0;margin-top:0;width:4.55pt;height:10.35pt;z-index:1;mso-wrap-style:none;mso-position-horizontal:center;mso-position-horizontal-relative:margin" o:preferrelative="t" filled="f" stroked="f">
          <v:textbox style="mso-fit-shape-to-text:t" inset="0,0,0,0">
            <w:txbxContent>
              <w:p w:rsidR="00CC550F" w:rsidRDefault="0029023F">
                <w:pPr>
                  <w:pStyle w:val="a6"/>
                </w:pPr>
                <w:r>
                  <w:fldChar w:fldCharType="begin"/>
                </w:r>
                <w:r w:rsidR="00E7258B">
                  <w:instrText xml:space="preserve"> PAGE  \* MERGEFORMAT </w:instrText>
                </w:r>
                <w:r>
                  <w:fldChar w:fldCharType="separate"/>
                </w:r>
                <w:r w:rsidR="007D1C20" w:rsidRPr="007D1C20">
                  <w:rPr>
                    <w:noProof/>
                    <w:lang w:val="zh-CN"/>
                  </w:rPr>
                  <w:t>1</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E4" w:rsidRDefault="00FD17E4" w:rsidP="00CC550F">
      <w:r>
        <w:separator/>
      </w:r>
    </w:p>
  </w:footnote>
  <w:footnote w:type="continuationSeparator" w:id="0">
    <w:p w:rsidR="00FD17E4" w:rsidRDefault="00FD17E4" w:rsidP="00CC5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319"/>
  <w:displayHorizontalDrawingGridEvery w:val="2"/>
  <w:noPunctuationKerning/>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50F"/>
    <w:rsid w:val="000176E7"/>
    <w:rsid w:val="0029023F"/>
    <w:rsid w:val="005F4BAB"/>
    <w:rsid w:val="007D1C20"/>
    <w:rsid w:val="00B45151"/>
    <w:rsid w:val="00CC550F"/>
    <w:rsid w:val="00D23467"/>
    <w:rsid w:val="00D85708"/>
    <w:rsid w:val="00E46B93"/>
    <w:rsid w:val="00E60D37"/>
    <w:rsid w:val="00E7258B"/>
    <w:rsid w:val="00FD17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5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C550F"/>
    <w:rPr>
      <w:b/>
      <w:bCs/>
    </w:rPr>
  </w:style>
  <w:style w:type="paragraph" w:styleId="a4">
    <w:name w:val="annotation text"/>
    <w:basedOn w:val="a"/>
    <w:link w:val="Char0"/>
    <w:qFormat/>
    <w:rsid w:val="00CC550F"/>
    <w:pPr>
      <w:jc w:val="left"/>
    </w:pPr>
    <w:rPr>
      <w:lang/>
    </w:rPr>
  </w:style>
  <w:style w:type="paragraph" w:styleId="a5">
    <w:name w:val="Balloon Text"/>
    <w:basedOn w:val="a"/>
    <w:link w:val="Char1"/>
    <w:qFormat/>
    <w:rsid w:val="00CC550F"/>
    <w:rPr>
      <w:rFonts w:ascii="宋体"/>
      <w:sz w:val="18"/>
      <w:szCs w:val="18"/>
      <w:lang/>
    </w:rPr>
  </w:style>
  <w:style w:type="paragraph" w:styleId="a6">
    <w:name w:val="footer"/>
    <w:basedOn w:val="a"/>
    <w:link w:val="Char2"/>
    <w:qFormat/>
    <w:rsid w:val="00CC550F"/>
    <w:pPr>
      <w:tabs>
        <w:tab w:val="center" w:pos="4153"/>
        <w:tab w:val="right" w:pos="8306"/>
      </w:tabs>
      <w:snapToGrid w:val="0"/>
      <w:jc w:val="left"/>
    </w:pPr>
    <w:rPr>
      <w:sz w:val="18"/>
      <w:szCs w:val="18"/>
      <w:lang/>
    </w:rPr>
  </w:style>
  <w:style w:type="paragraph" w:styleId="a7">
    <w:name w:val="header"/>
    <w:basedOn w:val="a"/>
    <w:link w:val="Char3"/>
    <w:qFormat/>
    <w:rsid w:val="00CC550F"/>
    <w:pPr>
      <w:pBdr>
        <w:bottom w:val="single" w:sz="6" w:space="1" w:color="auto"/>
      </w:pBdr>
      <w:tabs>
        <w:tab w:val="center" w:pos="4153"/>
        <w:tab w:val="right" w:pos="8306"/>
      </w:tabs>
      <w:snapToGrid w:val="0"/>
      <w:jc w:val="center"/>
    </w:pPr>
    <w:rPr>
      <w:sz w:val="18"/>
      <w:szCs w:val="18"/>
      <w:lang/>
    </w:rPr>
  </w:style>
  <w:style w:type="paragraph" w:styleId="a8">
    <w:name w:val="Normal (Web)"/>
    <w:basedOn w:val="a"/>
    <w:qFormat/>
    <w:rsid w:val="00CC550F"/>
    <w:pPr>
      <w:shd w:val="clear" w:color="auto" w:fill="FFFFFF"/>
      <w:adjustRightInd w:val="0"/>
      <w:snapToGrid w:val="0"/>
      <w:spacing w:line="560" w:lineRule="exact"/>
      <w:ind w:firstLine="470"/>
    </w:pPr>
    <w:rPr>
      <w:rFonts w:ascii="仿宋_GB2312" w:eastAsia="仿宋_GB2312" w:hAnsi="仿宋_GB2312" w:cs="仿宋_GB2312"/>
      <w:kern w:val="0"/>
      <w:sz w:val="32"/>
      <w:szCs w:val="32"/>
    </w:rPr>
  </w:style>
  <w:style w:type="character" w:styleId="a9">
    <w:name w:val="annotation reference"/>
    <w:qFormat/>
    <w:rsid w:val="00CC550F"/>
    <w:rPr>
      <w:sz w:val="21"/>
      <w:szCs w:val="21"/>
    </w:rPr>
  </w:style>
  <w:style w:type="paragraph" w:customStyle="1" w:styleId="-11">
    <w:name w:val="彩色底纹 - 强调文字颜色 11"/>
    <w:hidden/>
    <w:uiPriority w:val="99"/>
    <w:unhideWhenUsed/>
    <w:qFormat/>
    <w:rsid w:val="00CC550F"/>
    <w:rPr>
      <w:kern w:val="2"/>
      <w:sz w:val="21"/>
      <w:szCs w:val="24"/>
    </w:rPr>
  </w:style>
  <w:style w:type="character" w:customStyle="1" w:styleId="Char2">
    <w:name w:val="页脚 Char"/>
    <w:link w:val="a6"/>
    <w:qFormat/>
    <w:rsid w:val="00CC550F"/>
    <w:rPr>
      <w:kern w:val="2"/>
      <w:sz w:val="18"/>
      <w:szCs w:val="18"/>
    </w:rPr>
  </w:style>
  <w:style w:type="character" w:customStyle="1" w:styleId="Char3">
    <w:name w:val="页眉 Char"/>
    <w:link w:val="a7"/>
    <w:qFormat/>
    <w:rsid w:val="00CC550F"/>
    <w:rPr>
      <w:kern w:val="2"/>
      <w:sz w:val="18"/>
      <w:szCs w:val="18"/>
    </w:rPr>
  </w:style>
  <w:style w:type="character" w:customStyle="1" w:styleId="Char0">
    <w:name w:val="批注文字 Char"/>
    <w:link w:val="a4"/>
    <w:qFormat/>
    <w:rsid w:val="00CC550F"/>
    <w:rPr>
      <w:kern w:val="2"/>
      <w:sz w:val="21"/>
      <w:szCs w:val="24"/>
    </w:rPr>
  </w:style>
  <w:style w:type="character" w:customStyle="1" w:styleId="Char">
    <w:name w:val="批注主题 Char"/>
    <w:link w:val="a3"/>
    <w:qFormat/>
    <w:rsid w:val="00CC550F"/>
    <w:rPr>
      <w:b/>
      <w:bCs/>
      <w:kern w:val="2"/>
      <w:sz w:val="21"/>
      <w:szCs w:val="24"/>
    </w:rPr>
  </w:style>
  <w:style w:type="character" w:customStyle="1" w:styleId="Char1">
    <w:name w:val="批注框文本 Char"/>
    <w:link w:val="a5"/>
    <w:qFormat/>
    <w:rsid w:val="00CC550F"/>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308</Words>
  <Characters>1758</Characters>
  <Application>Microsoft Office Word</Application>
  <DocSecurity>0</DocSecurity>
  <Lines>14</Lines>
  <Paragraphs>4</Paragraphs>
  <ScaleCrop>false</ScaleCrop>
  <Company>微软中国</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《苏州市养犬管理条例》问题清单</dc:title>
  <dc:creator>叶素成</dc:creator>
  <cp:lastModifiedBy>freeuser</cp:lastModifiedBy>
  <cp:revision>5</cp:revision>
  <dcterms:created xsi:type="dcterms:W3CDTF">2022-04-15T01:44:00Z</dcterms:created>
  <dcterms:modified xsi:type="dcterms:W3CDTF">2022-04-19T03:58:00Z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y fmtid="{D5CDD505-2E9C-101B-9397-08002B2CF9AE}" pid="3" name="ICV">
    <vt:lpwstr>AE0910D361D146949C3322640CCC321E</vt:lpwstr>
  </property>
</Properties>
</file>