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20" w:rsidRDefault="005B6220" w:rsidP="00FE3638">
      <w:pPr>
        <w:spacing w:beforeLines="50" w:line="582" w:lineRule="exact"/>
        <w:jc w:val="center"/>
        <w:rPr>
          <w:rFonts w:ascii="宋体" w:eastAsia="宋体" w:hAnsi="宋体"/>
          <w:b/>
          <w:sz w:val="44"/>
          <w:szCs w:val="44"/>
        </w:rPr>
      </w:pPr>
    </w:p>
    <w:p w:rsidR="00A809C7" w:rsidRPr="005B6220" w:rsidRDefault="00FC660D" w:rsidP="00FE3638">
      <w:pPr>
        <w:spacing w:beforeLines="50" w:line="582" w:lineRule="exact"/>
        <w:jc w:val="center"/>
        <w:rPr>
          <w:rFonts w:ascii="华文中宋" w:eastAsia="华文中宋" w:hAnsi="华文中宋"/>
          <w:b/>
          <w:sz w:val="44"/>
          <w:szCs w:val="44"/>
        </w:rPr>
      </w:pPr>
      <w:r w:rsidRPr="005B6220">
        <w:rPr>
          <w:rFonts w:ascii="华文中宋" w:eastAsia="华文中宋" w:hAnsi="华文中宋" w:hint="eastAsia"/>
          <w:b/>
          <w:sz w:val="44"/>
          <w:szCs w:val="44"/>
        </w:rPr>
        <w:t>关于实施第五轮生态补偿政策的意见</w:t>
      </w:r>
    </w:p>
    <w:p w:rsidR="00A809C7" w:rsidRDefault="00FE3638" w:rsidP="00FE3638">
      <w:pPr>
        <w:spacing w:beforeLines="50" w:afterLines="50" w:line="582" w:lineRule="exact"/>
        <w:jc w:val="center"/>
        <w:rPr>
          <w:rFonts w:ascii="楷体" w:eastAsia="楷体" w:hAnsi="楷体"/>
          <w:sz w:val="32"/>
          <w:szCs w:val="32"/>
        </w:rPr>
      </w:pPr>
      <w:r>
        <w:rPr>
          <w:rFonts w:ascii="楷体" w:eastAsia="楷体" w:hAnsi="楷体" w:hint="eastAsia"/>
          <w:sz w:val="32"/>
          <w:szCs w:val="32"/>
        </w:rPr>
        <w:t>（征求意见稿</w:t>
      </w:r>
      <w:r w:rsidR="00FC660D">
        <w:rPr>
          <w:rFonts w:ascii="楷体" w:eastAsia="楷体" w:hAnsi="楷体" w:hint="eastAsia"/>
          <w:sz w:val="32"/>
          <w:szCs w:val="32"/>
        </w:rPr>
        <w:t>）</w:t>
      </w:r>
    </w:p>
    <w:p w:rsidR="005B6220" w:rsidRDefault="005B6220">
      <w:pPr>
        <w:spacing w:line="360" w:lineRule="auto"/>
        <w:ind w:firstLineChars="200" w:firstLine="640"/>
        <w:rPr>
          <w:rFonts w:ascii="仿宋" w:eastAsia="仿宋" w:hAnsi="仿宋"/>
          <w:sz w:val="32"/>
          <w:szCs w:val="32"/>
        </w:rPr>
      </w:pPr>
    </w:p>
    <w:p w:rsidR="00A809C7" w:rsidRDefault="00FC660D">
      <w:pPr>
        <w:spacing w:line="360" w:lineRule="auto"/>
        <w:ind w:firstLineChars="200" w:firstLine="640"/>
        <w:rPr>
          <w:rFonts w:ascii="仿宋" w:eastAsia="仿宋" w:hAnsi="仿宋"/>
          <w:sz w:val="32"/>
          <w:szCs w:val="32"/>
        </w:rPr>
      </w:pPr>
      <w:r>
        <w:rPr>
          <w:rFonts w:ascii="仿宋" w:eastAsia="仿宋" w:hAnsi="仿宋" w:hint="eastAsia"/>
          <w:sz w:val="32"/>
          <w:szCs w:val="32"/>
        </w:rPr>
        <w:t>为优化生态补偿政策，健全生态补偿机</w:t>
      </w:r>
      <w:r w:rsidR="007A2FDE">
        <w:rPr>
          <w:rFonts w:ascii="仿宋" w:eastAsia="仿宋" w:hAnsi="仿宋" w:hint="eastAsia"/>
          <w:sz w:val="32"/>
          <w:szCs w:val="32"/>
        </w:rPr>
        <w:t>制，推动我市生态文明建设迈上新台阶，根据《苏州市生态补偿条例》</w:t>
      </w:r>
      <w:r>
        <w:rPr>
          <w:rFonts w:ascii="仿宋" w:eastAsia="仿宋" w:hAnsi="仿宋" w:hint="eastAsia"/>
          <w:sz w:val="32"/>
          <w:szCs w:val="32"/>
        </w:rPr>
        <w:t>相关规定，从2022</w:t>
      </w:r>
      <w:r w:rsidR="007A2FDE">
        <w:rPr>
          <w:rFonts w:ascii="仿宋" w:eastAsia="仿宋" w:hAnsi="仿宋" w:hint="eastAsia"/>
          <w:sz w:val="32"/>
          <w:szCs w:val="32"/>
        </w:rPr>
        <w:t>年起</w:t>
      </w:r>
      <w:r>
        <w:rPr>
          <w:rFonts w:ascii="仿宋" w:eastAsia="仿宋" w:hAnsi="仿宋" w:hint="eastAsia"/>
          <w:sz w:val="32"/>
          <w:szCs w:val="32"/>
        </w:rPr>
        <w:t>实施第五轮生态补偿政策。具体内容如下：</w:t>
      </w:r>
    </w:p>
    <w:p w:rsidR="00A809C7" w:rsidRPr="008326A3" w:rsidRDefault="00FC660D">
      <w:pPr>
        <w:spacing w:line="360" w:lineRule="auto"/>
        <w:ind w:firstLineChars="200" w:firstLine="643"/>
        <w:rPr>
          <w:rFonts w:asciiTheme="minorEastAsia" w:hAnsiTheme="minorEastAsia"/>
          <w:b/>
          <w:sz w:val="32"/>
          <w:szCs w:val="32"/>
        </w:rPr>
      </w:pPr>
      <w:r w:rsidRPr="008326A3">
        <w:rPr>
          <w:rFonts w:asciiTheme="minorEastAsia" w:hAnsiTheme="minorEastAsia" w:hint="eastAsia"/>
          <w:b/>
          <w:sz w:val="32"/>
          <w:szCs w:val="32"/>
        </w:rPr>
        <w:t>一、突出重点调整补偿标准</w:t>
      </w:r>
    </w:p>
    <w:p w:rsidR="00A809C7" w:rsidRDefault="00FC660D">
      <w:pPr>
        <w:spacing w:line="360" w:lineRule="auto"/>
        <w:ind w:firstLineChars="200" w:firstLine="640"/>
        <w:rPr>
          <w:rFonts w:ascii="仿宋" w:eastAsia="仿宋" w:hAnsi="仿宋"/>
          <w:sz w:val="32"/>
          <w:szCs w:val="32"/>
        </w:rPr>
      </w:pPr>
      <w:r w:rsidRPr="008326A3">
        <w:rPr>
          <w:rFonts w:ascii="仿宋" w:eastAsia="仿宋" w:hAnsi="仿宋" w:hint="eastAsia"/>
          <w:sz w:val="32"/>
          <w:szCs w:val="32"/>
        </w:rPr>
        <w:t>（一）</w:t>
      </w:r>
      <w:r>
        <w:rPr>
          <w:rFonts w:ascii="仿宋" w:eastAsia="仿宋" w:hAnsi="仿宋" w:hint="eastAsia"/>
          <w:sz w:val="32"/>
          <w:szCs w:val="32"/>
        </w:rPr>
        <w:t>水稻田补偿标准。对经县级以上农业农村部门认定的实际种植的水稻田，按种植面积予以420元/亩的生态补偿。</w:t>
      </w:r>
    </w:p>
    <w:p w:rsidR="00A809C7" w:rsidRDefault="00FC660D">
      <w:pPr>
        <w:spacing w:line="360" w:lineRule="auto"/>
        <w:ind w:firstLineChars="200" w:firstLine="640"/>
        <w:rPr>
          <w:rFonts w:ascii="仿宋" w:eastAsia="仿宋" w:hAnsi="仿宋"/>
          <w:sz w:val="32"/>
          <w:szCs w:val="32"/>
        </w:rPr>
      </w:pPr>
      <w:r>
        <w:rPr>
          <w:rFonts w:ascii="仿宋" w:eastAsia="仿宋" w:hAnsi="仿宋" w:hint="eastAsia"/>
          <w:sz w:val="32"/>
          <w:szCs w:val="32"/>
        </w:rPr>
        <w:t>（二）水源地村、生态湿地村补</w:t>
      </w:r>
      <w:bookmarkStart w:id="0" w:name="_GoBack"/>
      <w:bookmarkEnd w:id="0"/>
      <w:r>
        <w:rPr>
          <w:rFonts w:ascii="仿宋" w:eastAsia="仿宋" w:hAnsi="仿宋" w:hint="eastAsia"/>
          <w:sz w:val="32"/>
          <w:szCs w:val="32"/>
        </w:rPr>
        <w:t>偿标准。对纳入省政府公布的县级以上集中式饮用水水源地保护名录、由市水源地主管部门认定的水源地保护区范围内的村，以及纳入</w:t>
      </w:r>
      <w:r w:rsidR="00831375">
        <w:rPr>
          <w:rFonts w:ascii="仿宋" w:eastAsia="仿宋" w:hAnsi="仿宋" w:hint="eastAsia"/>
          <w:sz w:val="32"/>
          <w:szCs w:val="32"/>
        </w:rPr>
        <w:t>《江苏省省级重要湿地名录》</w:t>
      </w:r>
      <w:r w:rsidR="00665930">
        <w:rPr>
          <w:rFonts w:ascii="仿宋" w:eastAsia="仿宋" w:hAnsi="仿宋" w:hint="eastAsia"/>
          <w:sz w:val="32"/>
          <w:szCs w:val="32"/>
        </w:rPr>
        <w:t>《苏州市级重要湿地名录》，</w:t>
      </w:r>
      <w:r>
        <w:rPr>
          <w:rFonts w:ascii="仿宋" w:eastAsia="仿宋" w:hAnsi="仿宋" w:hint="eastAsia"/>
          <w:sz w:val="32"/>
          <w:szCs w:val="32"/>
        </w:rPr>
        <w:t>由</w:t>
      </w:r>
      <w:r w:rsidRPr="00C73CD3">
        <w:rPr>
          <w:rFonts w:ascii="仿宋" w:eastAsia="仿宋" w:hAnsi="仿宋" w:hint="eastAsia"/>
          <w:sz w:val="32"/>
          <w:szCs w:val="32"/>
        </w:rPr>
        <w:t>市</w:t>
      </w:r>
      <w:r w:rsidR="00C73CD3">
        <w:rPr>
          <w:rFonts w:ascii="仿宋" w:eastAsia="仿宋" w:hAnsi="仿宋" w:hint="eastAsia"/>
          <w:sz w:val="32"/>
          <w:szCs w:val="32"/>
        </w:rPr>
        <w:t>、县</w:t>
      </w:r>
      <w:r>
        <w:rPr>
          <w:rFonts w:ascii="仿宋" w:eastAsia="仿宋" w:hAnsi="仿宋" w:hint="eastAsia"/>
          <w:sz w:val="32"/>
          <w:szCs w:val="32"/>
        </w:rPr>
        <w:t>湿地保护主管部门认定的太湖、阳澄湖、澄湖、长江湿地所在的村，综合考虑岸线长度、土地面积及村常住人口等因素，分三个档次进行补偿。以行政村为单位，岸线长度在3500米以上，区域土地面积在10000亩以上，村常住人口在4000人以上，同时达到三项标准的，水源地村按160万元/村、</w:t>
      </w:r>
      <w:r>
        <w:rPr>
          <w:rFonts w:ascii="仿宋" w:eastAsia="仿宋" w:hAnsi="仿宋" w:hint="eastAsia"/>
          <w:sz w:val="32"/>
          <w:szCs w:val="32"/>
        </w:rPr>
        <w:lastRenderedPageBreak/>
        <w:t>生态湿地村按120万元/村予以生态补偿；达到一项以上标准的，水源地村按140万元/村、生态湿地村按100万元/村予以生态补偿；三项标准均未达到的，水源地村按120万元/村、生态湿地村按80万元/村予以生态补偿。</w:t>
      </w:r>
    </w:p>
    <w:p w:rsidR="00A809C7" w:rsidRDefault="00FC660D">
      <w:pPr>
        <w:spacing w:line="360" w:lineRule="auto"/>
        <w:ind w:firstLineChars="200" w:firstLine="640"/>
        <w:rPr>
          <w:rFonts w:ascii="仿宋" w:eastAsia="仿宋" w:hAnsi="仿宋"/>
          <w:sz w:val="32"/>
          <w:szCs w:val="32"/>
        </w:rPr>
      </w:pPr>
      <w:r>
        <w:rPr>
          <w:rFonts w:ascii="仿宋" w:eastAsia="仿宋" w:hAnsi="仿宋" w:hint="eastAsia"/>
          <w:sz w:val="32"/>
          <w:szCs w:val="32"/>
        </w:rPr>
        <w:t>对四面环水或岸线长度超过10000米以上的行政村适当倾斜，按相应类别最高档次实行生态补偿。</w:t>
      </w:r>
    </w:p>
    <w:p w:rsidR="00A809C7" w:rsidRDefault="00FC660D">
      <w:pPr>
        <w:spacing w:line="360" w:lineRule="auto"/>
        <w:ind w:firstLineChars="200" w:firstLine="640"/>
        <w:rPr>
          <w:rFonts w:ascii="仿宋" w:eastAsia="仿宋" w:hAnsi="仿宋"/>
          <w:sz w:val="32"/>
          <w:szCs w:val="32"/>
        </w:rPr>
      </w:pPr>
      <w:r>
        <w:rPr>
          <w:rFonts w:ascii="仿宋" w:eastAsia="仿宋" w:hAnsi="仿宋" w:hint="eastAsia"/>
          <w:sz w:val="32"/>
          <w:szCs w:val="32"/>
        </w:rPr>
        <w:t>（三）生态公益林补偿标准。对经县级以上林业主管部门区划界定的县级以上生态公益林，按</w:t>
      </w:r>
      <w:r w:rsidRPr="009F0C17">
        <w:rPr>
          <w:rFonts w:ascii="仿宋" w:eastAsia="仿宋" w:hAnsi="仿宋" w:hint="eastAsia"/>
          <w:sz w:val="32"/>
          <w:szCs w:val="32"/>
        </w:rPr>
        <w:t>300</w:t>
      </w:r>
      <w:r>
        <w:rPr>
          <w:rFonts w:ascii="仿宋" w:eastAsia="仿宋" w:hAnsi="仿宋" w:hint="eastAsia"/>
          <w:sz w:val="32"/>
          <w:szCs w:val="32"/>
        </w:rPr>
        <w:t>元/亩予以生态补偿。</w:t>
      </w:r>
    </w:p>
    <w:p w:rsidR="00A809C7" w:rsidRDefault="00FC660D">
      <w:pPr>
        <w:spacing w:line="360" w:lineRule="auto"/>
        <w:ind w:firstLineChars="200" w:firstLine="640"/>
        <w:rPr>
          <w:rFonts w:ascii="仿宋" w:eastAsia="仿宋" w:hAnsi="仿宋"/>
          <w:sz w:val="32"/>
          <w:szCs w:val="32"/>
        </w:rPr>
      </w:pPr>
      <w:r>
        <w:rPr>
          <w:rFonts w:ascii="仿宋" w:eastAsia="仿宋" w:hAnsi="仿宋" w:hint="eastAsia"/>
          <w:sz w:val="32"/>
          <w:szCs w:val="32"/>
        </w:rPr>
        <w:t>（四）风景名胜区补偿标准。对省级以上人民政府批准公布、由市风景名胜区主管部门认定的风景名胜区内的核心景区，按150元/亩予以生态补偿。</w:t>
      </w:r>
    </w:p>
    <w:p w:rsidR="00A809C7" w:rsidRPr="008326A3" w:rsidRDefault="00FC660D">
      <w:pPr>
        <w:spacing w:line="360" w:lineRule="auto"/>
        <w:ind w:firstLineChars="200" w:firstLine="643"/>
        <w:rPr>
          <w:rFonts w:asciiTheme="minorEastAsia" w:hAnsiTheme="minorEastAsia"/>
          <w:b/>
          <w:sz w:val="32"/>
          <w:szCs w:val="32"/>
        </w:rPr>
      </w:pPr>
      <w:r w:rsidRPr="008326A3">
        <w:rPr>
          <w:rFonts w:asciiTheme="minorEastAsia" w:hAnsiTheme="minorEastAsia" w:hint="eastAsia"/>
          <w:b/>
          <w:sz w:val="32"/>
          <w:szCs w:val="32"/>
        </w:rPr>
        <w:t>二、生态补偿资金的承担、分配和使用</w:t>
      </w:r>
    </w:p>
    <w:p w:rsidR="00A809C7" w:rsidRDefault="00FC660D">
      <w:pPr>
        <w:spacing w:line="360" w:lineRule="auto"/>
        <w:ind w:firstLineChars="200" w:firstLine="640"/>
        <w:rPr>
          <w:rFonts w:ascii="仿宋" w:eastAsia="仿宋" w:hAnsi="仿宋"/>
          <w:sz w:val="32"/>
          <w:szCs w:val="32"/>
        </w:rPr>
      </w:pPr>
      <w:r>
        <w:rPr>
          <w:rFonts w:ascii="仿宋" w:eastAsia="仿宋" w:hAnsi="仿宋" w:hint="eastAsia"/>
          <w:sz w:val="32"/>
          <w:szCs w:val="32"/>
        </w:rPr>
        <w:t>（一）生态补偿资金承担。根据现行财政体制，确定生态补偿资金承担比例。生态补偿区域位于县级市的，资金由县级市人民政府承担；生态补偿范围位于市区的，资金继续按市、区各50%的比例分担。区人民政府扩大生态补偿范围或者提高补偿标准的，由区人民政府承担。</w:t>
      </w:r>
    </w:p>
    <w:p w:rsidR="00A809C7" w:rsidRDefault="00FC660D">
      <w:pPr>
        <w:spacing w:line="360" w:lineRule="auto"/>
        <w:ind w:firstLineChars="200" w:firstLine="640"/>
        <w:rPr>
          <w:rFonts w:ascii="仿宋" w:eastAsia="仿宋" w:hAnsi="仿宋"/>
          <w:sz w:val="32"/>
          <w:szCs w:val="32"/>
        </w:rPr>
      </w:pPr>
      <w:r>
        <w:rPr>
          <w:rFonts w:ascii="仿宋" w:eastAsia="仿宋" w:hAnsi="仿宋" w:hint="eastAsia"/>
          <w:sz w:val="32"/>
          <w:szCs w:val="32"/>
        </w:rPr>
        <w:t>（二）生态补偿资金分配。按照责、权、利相统一的原则，生态补偿资金每年由市及各市、区按上述标准核定后，拨付镇、村。其中生态公益林和风景名胜区的补偿资金由镇安排使用，其他补偿资金由村安排使用。</w:t>
      </w:r>
    </w:p>
    <w:p w:rsidR="00A809C7" w:rsidRDefault="00FC660D">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三）生态补偿资金使用。镇人民政府应当拟定生态补偿资金使用预算，报镇人大批准后实施；在村级落实好生态保护责任的前提下，生态补偿资金作为村级可用财力。村（居）民委员会应当拟定生态补偿资金使用方案，经村（居）民会议或者村（居）代表会议通过后实施。</w:t>
      </w:r>
    </w:p>
    <w:p w:rsidR="00A809C7" w:rsidRPr="008326A3" w:rsidRDefault="00FC660D">
      <w:pPr>
        <w:spacing w:line="360" w:lineRule="auto"/>
        <w:ind w:firstLineChars="200" w:firstLine="643"/>
        <w:rPr>
          <w:rFonts w:asciiTheme="minorEastAsia" w:hAnsiTheme="minorEastAsia"/>
          <w:b/>
          <w:sz w:val="32"/>
          <w:szCs w:val="32"/>
        </w:rPr>
      </w:pPr>
      <w:r w:rsidRPr="008326A3">
        <w:rPr>
          <w:rFonts w:asciiTheme="minorEastAsia" w:hAnsiTheme="minorEastAsia" w:hint="eastAsia"/>
          <w:b/>
          <w:sz w:val="32"/>
          <w:szCs w:val="32"/>
        </w:rPr>
        <w:t>三、探索生态产品价值实现机制与政策创新</w:t>
      </w:r>
    </w:p>
    <w:p w:rsidR="00A809C7" w:rsidRPr="009F0C17" w:rsidRDefault="00FC660D">
      <w:pPr>
        <w:spacing w:line="360" w:lineRule="auto"/>
        <w:ind w:firstLineChars="200" w:firstLine="640"/>
        <w:rPr>
          <w:rFonts w:ascii="仿宋" w:eastAsia="仿宋" w:hAnsi="仿宋"/>
          <w:sz w:val="32"/>
          <w:szCs w:val="32"/>
        </w:rPr>
      </w:pPr>
      <w:r w:rsidRPr="009F0C17">
        <w:rPr>
          <w:rFonts w:ascii="仿宋" w:eastAsia="仿宋" w:hAnsi="仿宋" w:hint="eastAsia"/>
          <w:sz w:val="32"/>
          <w:szCs w:val="32"/>
        </w:rPr>
        <w:t>（一)统筹推动生态保护和经济发展，完善纵向生态保护补偿制度。优化财政转移支付与生态补偿利益分配机制，促进补偿资金在不同生态保护主体之间的合理分配。结合生态产品价值实现机制，探索创新生态产品补偿范围，建立完善重点生态功能区转移支付资金分配机制，支持基于生态环境系统性保护修复的生态产品价值实现工程建设。鼓励各地先行先试。</w:t>
      </w:r>
    </w:p>
    <w:p w:rsidR="00A809C7" w:rsidRDefault="00FC660D">
      <w:pPr>
        <w:spacing w:line="360" w:lineRule="auto"/>
        <w:ind w:firstLineChars="200" w:firstLine="640"/>
        <w:rPr>
          <w:rFonts w:ascii="仿宋" w:eastAsia="仿宋" w:hAnsi="仿宋"/>
          <w:sz w:val="32"/>
          <w:szCs w:val="32"/>
        </w:rPr>
      </w:pPr>
      <w:r>
        <w:rPr>
          <w:rFonts w:ascii="仿宋" w:eastAsia="仿宋" w:hAnsi="仿宋" w:hint="eastAsia"/>
          <w:sz w:val="32"/>
          <w:szCs w:val="32"/>
        </w:rPr>
        <w:t>（二）各县级市、区将水稻以外的生态特色农产品纳入生态补偿并通过绿色或有机认证的,市级财政按照100元/亩的标准给予一次性奖励，</w:t>
      </w:r>
      <w:r w:rsidRPr="009F0C17">
        <w:rPr>
          <w:rFonts w:ascii="仿宋" w:eastAsia="仿宋" w:hAnsi="仿宋" w:hint="eastAsia"/>
          <w:sz w:val="32"/>
          <w:szCs w:val="32"/>
        </w:rPr>
        <w:t>第四轮政策中已获得市级补偿的生态特色农产品不再申报</w:t>
      </w:r>
      <w:r>
        <w:rPr>
          <w:rFonts w:ascii="仿宋" w:eastAsia="仿宋" w:hAnsi="仿宋" w:hint="eastAsia"/>
          <w:sz w:val="32"/>
          <w:szCs w:val="32"/>
        </w:rPr>
        <w:t>。</w:t>
      </w:r>
    </w:p>
    <w:p w:rsidR="00A809C7" w:rsidRPr="008326A3" w:rsidRDefault="00FC660D">
      <w:pPr>
        <w:spacing w:line="360" w:lineRule="auto"/>
        <w:ind w:firstLineChars="200" w:firstLine="643"/>
        <w:rPr>
          <w:rFonts w:asciiTheme="minorEastAsia" w:hAnsiTheme="minorEastAsia"/>
          <w:b/>
          <w:sz w:val="32"/>
          <w:szCs w:val="32"/>
        </w:rPr>
      </w:pPr>
      <w:r w:rsidRPr="008326A3">
        <w:rPr>
          <w:rFonts w:asciiTheme="minorEastAsia" w:hAnsiTheme="minorEastAsia" w:hint="eastAsia"/>
          <w:b/>
          <w:sz w:val="32"/>
          <w:szCs w:val="32"/>
        </w:rPr>
        <w:t>四、统筹推进生态补偿工作</w:t>
      </w:r>
    </w:p>
    <w:p w:rsidR="00A809C7" w:rsidRPr="009F0C17" w:rsidRDefault="00FC660D">
      <w:pPr>
        <w:adjustRightInd w:val="0"/>
        <w:snapToGrid w:val="0"/>
        <w:spacing w:line="360" w:lineRule="auto"/>
        <w:ind w:firstLineChars="200" w:firstLine="640"/>
        <w:rPr>
          <w:rFonts w:ascii="仿宋" w:eastAsia="仿宋" w:hAnsi="仿宋" w:cs="宋体"/>
          <w:sz w:val="32"/>
          <w:szCs w:val="32"/>
        </w:rPr>
      </w:pPr>
      <w:r>
        <w:rPr>
          <w:rFonts w:ascii="仿宋" w:eastAsia="仿宋" w:hAnsi="仿宋" w:hint="eastAsia"/>
          <w:sz w:val="32"/>
          <w:szCs w:val="32"/>
        </w:rPr>
        <w:t>各市、区政府要严格执行《苏州市生态补偿条例》，全面落实生态补偿政策，研究完善相应实施办法。要按照市级确定的范围和标准，足额安排好生态补偿资金。</w:t>
      </w:r>
      <w:r w:rsidRPr="009F0C17">
        <w:rPr>
          <w:rFonts w:ascii="仿宋" w:eastAsia="仿宋" w:hAnsi="仿宋" w:hint="eastAsia"/>
          <w:sz w:val="32"/>
          <w:szCs w:val="32"/>
        </w:rPr>
        <w:t>对《苏州市生态补偿条例》规定以外的</w:t>
      </w:r>
      <w:r w:rsidRPr="009F0C17">
        <w:rPr>
          <w:rFonts w:ascii="仿宋" w:eastAsia="仿宋" w:hAnsi="仿宋" w:cs="Times New Roman" w:hint="eastAsia"/>
          <w:sz w:val="32"/>
          <w:szCs w:val="32"/>
        </w:rPr>
        <w:t>生态功能区域</w:t>
      </w:r>
      <w:r w:rsidRPr="009F0C17">
        <w:rPr>
          <w:rFonts w:ascii="仿宋" w:eastAsia="仿宋" w:hAnsi="仿宋" w:hint="eastAsia"/>
          <w:sz w:val="32"/>
          <w:szCs w:val="32"/>
        </w:rPr>
        <w:t>，支持各地自行探</w:t>
      </w:r>
      <w:r w:rsidRPr="009F0C17">
        <w:rPr>
          <w:rFonts w:ascii="仿宋" w:eastAsia="仿宋" w:hAnsi="仿宋" w:hint="eastAsia"/>
          <w:sz w:val="32"/>
          <w:szCs w:val="32"/>
        </w:rPr>
        <w:lastRenderedPageBreak/>
        <w:t>索，条件成熟后逐步纳入市级生态补偿政策。</w:t>
      </w:r>
    </w:p>
    <w:p w:rsidR="00A809C7" w:rsidRDefault="00A84E6D">
      <w:pPr>
        <w:spacing w:line="360" w:lineRule="auto"/>
        <w:ind w:firstLineChars="200" w:firstLine="640"/>
        <w:rPr>
          <w:rFonts w:ascii="仿宋" w:eastAsia="仿宋" w:hAnsi="仿宋"/>
          <w:sz w:val="32"/>
          <w:szCs w:val="32"/>
        </w:rPr>
      </w:pPr>
      <w:r>
        <w:rPr>
          <w:rFonts w:ascii="仿宋" w:eastAsia="仿宋" w:hAnsi="仿宋" w:hint="eastAsia"/>
          <w:sz w:val="32"/>
          <w:szCs w:val="32"/>
        </w:rPr>
        <w:t>市相关政府职能部门要按照各自职责，协同推进生态补偿工作。</w:t>
      </w:r>
      <w:r w:rsidR="00FC660D">
        <w:rPr>
          <w:rFonts w:ascii="仿宋" w:eastAsia="仿宋" w:hAnsi="仿宋" w:hint="eastAsia"/>
          <w:sz w:val="32"/>
          <w:szCs w:val="32"/>
        </w:rPr>
        <w:t>加强对生态补偿对象的认定，对于“撤村建居”并且不再承担日常生态保护责任的社区，不再作为生态补偿对象；</w:t>
      </w:r>
      <w:r w:rsidR="00E02FAF">
        <w:rPr>
          <w:rFonts w:ascii="仿宋" w:eastAsia="仿宋" w:hAnsi="仿宋" w:cs="宋体" w:hint="eastAsia"/>
          <w:sz w:val="32"/>
          <w:szCs w:val="32"/>
        </w:rPr>
        <w:t>对继续承担原先生态保护责任的社区，按照第四轮享受的补偿金额</w:t>
      </w:r>
      <w:r w:rsidR="00FC660D" w:rsidRPr="009F0C17">
        <w:rPr>
          <w:rFonts w:ascii="仿宋" w:eastAsia="仿宋" w:hAnsi="仿宋" w:cs="宋体" w:hint="eastAsia"/>
          <w:sz w:val="32"/>
          <w:szCs w:val="32"/>
        </w:rPr>
        <w:t>补偿。</w:t>
      </w:r>
      <w:r w:rsidR="00FC660D">
        <w:rPr>
          <w:rFonts w:ascii="仿宋" w:eastAsia="仿宋" w:hAnsi="仿宋" w:hint="eastAsia"/>
          <w:sz w:val="32"/>
          <w:szCs w:val="32"/>
        </w:rPr>
        <w:t>完善日常指导监管手段，运用专业遥感监测技术，加强对水稻田、生态公益林的监测</w:t>
      </w:r>
      <w:r w:rsidR="00FC660D" w:rsidRPr="009F0C17">
        <w:rPr>
          <w:rFonts w:ascii="仿宋" w:eastAsia="仿宋" w:hAnsi="仿宋" w:hint="eastAsia"/>
          <w:sz w:val="32"/>
          <w:szCs w:val="32"/>
        </w:rPr>
        <w:t>调查</w:t>
      </w:r>
      <w:r w:rsidR="00FC660D">
        <w:rPr>
          <w:rFonts w:ascii="仿宋" w:eastAsia="仿宋" w:hAnsi="仿宋" w:hint="eastAsia"/>
          <w:sz w:val="32"/>
          <w:szCs w:val="32"/>
        </w:rPr>
        <w:t>，</w:t>
      </w:r>
      <w:r w:rsidR="00FC660D" w:rsidRPr="009F0C17">
        <w:rPr>
          <w:rFonts w:ascii="仿宋" w:eastAsia="仿宋" w:hAnsi="仿宋" w:cs="宋体" w:hint="eastAsia"/>
          <w:sz w:val="32"/>
          <w:szCs w:val="32"/>
        </w:rPr>
        <w:t>相关委托业务费可在市级生态补偿资金里安排</w:t>
      </w:r>
      <w:r w:rsidR="00DB2383">
        <w:rPr>
          <w:rFonts w:ascii="仿宋" w:eastAsia="仿宋" w:hAnsi="仿宋" w:hint="eastAsia"/>
          <w:sz w:val="32"/>
          <w:szCs w:val="32"/>
        </w:rPr>
        <w:t>。</w:t>
      </w:r>
      <w:r w:rsidR="00FC660D">
        <w:rPr>
          <w:rFonts w:ascii="仿宋" w:eastAsia="仿宋" w:hAnsi="仿宋" w:hint="eastAsia"/>
          <w:sz w:val="32"/>
          <w:szCs w:val="32"/>
        </w:rPr>
        <w:t>切实做好对乡</w:t>
      </w:r>
      <w:r w:rsidR="00DB2383">
        <w:rPr>
          <w:rFonts w:ascii="仿宋" w:eastAsia="仿宋" w:hAnsi="仿宋" w:hint="eastAsia"/>
          <w:sz w:val="32"/>
          <w:szCs w:val="32"/>
        </w:rPr>
        <w:t>镇、村生态补偿政策培训，督促落实生态保护责任，用好生态补偿资金。</w:t>
      </w:r>
      <w:r w:rsidR="00FC660D" w:rsidRPr="009F0C17">
        <w:rPr>
          <w:rFonts w:ascii="仿宋" w:eastAsia="仿宋" w:hAnsi="仿宋" w:hint="eastAsia"/>
          <w:sz w:val="32"/>
          <w:szCs w:val="32"/>
        </w:rPr>
        <w:t>指导各市、区做好生态保护履职考核工作，推进各</w:t>
      </w:r>
      <w:r w:rsidR="00DB2383">
        <w:rPr>
          <w:rFonts w:ascii="仿宋" w:eastAsia="仿宋" w:hAnsi="仿宋" w:hint="eastAsia"/>
          <w:sz w:val="32"/>
          <w:szCs w:val="32"/>
        </w:rPr>
        <w:t>地饮用水源地、湿地村、公益林、风景名胜区等生态补偿项目责任考核。</w:t>
      </w:r>
      <w:r w:rsidR="00FC660D">
        <w:rPr>
          <w:rFonts w:ascii="仿宋" w:eastAsia="仿宋" w:hAnsi="仿宋" w:hint="eastAsia"/>
          <w:sz w:val="32"/>
          <w:szCs w:val="32"/>
        </w:rPr>
        <w:t>进一步强化部门联动，健全生态保护责任落实情况与生态补偿资金之间的挂钩机制。</w:t>
      </w:r>
    </w:p>
    <w:p w:rsidR="00A809C7" w:rsidRDefault="00A809C7">
      <w:pPr>
        <w:spacing w:line="360" w:lineRule="auto"/>
        <w:ind w:firstLineChars="200" w:firstLine="640"/>
        <w:rPr>
          <w:rFonts w:ascii="仿宋" w:eastAsia="仿宋" w:hAnsi="仿宋"/>
          <w:sz w:val="32"/>
          <w:szCs w:val="32"/>
        </w:rPr>
      </w:pPr>
    </w:p>
    <w:sectPr w:rsidR="00A809C7" w:rsidSect="00A809C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EF0" w:rsidRDefault="00F12EF0" w:rsidP="009F0C17">
      <w:r>
        <w:separator/>
      </w:r>
    </w:p>
  </w:endnote>
  <w:endnote w:type="continuationSeparator" w:id="0">
    <w:p w:rsidR="00F12EF0" w:rsidRDefault="00F12EF0" w:rsidP="009F0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8033"/>
      <w:docPartObj>
        <w:docPartGallery w:val="Page Numbers (Bottom of Page)"/>
        <w:docPartUnique/>
      </w:docPartObj>
    </w:sdtPr>
    <w:sdtContent>
      <w:p w:rsidR="00EC4058" w:rsidRDefault="005D4094">
        <w:pPr>
          <w:pStyle w:val="a3"/>
          <w:jc w:val="center"/>
        </w:pPr>
        <w:fldSimple w:instr=" PAGE   \* MERGEFORMAT ">
          <w:r w:rsidR="00FE3638" w:rsidRPr="00FE3638">
            <w:rPr>
              <w:noProof/>
              <w:lang w:val="zh-CN"/>
            </w:rPr>
            <w:t>1</w:t>
          </w:r>
        </w:fldSimple>
      </w:p>
    </w:sdtContent>
  </w:sdt>
  <w:p w:rsidR="00EC4058" w:rsidRDefault="00EC40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EF0" w:rsidRDefault="00F12EF0" w:rsidP="009F0C17">
      <w:r>
        <w:separator/>
      </w:r>
    </w:p>
  </w:footnote>
  <w:footnote w:type="continuationSeparator" w:id="0">
    <w:p w:rsidR="00F12EF0" w:rsidRDefault="00F12EF0" w:rsidP="009F0C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701"/>
    <w:rsid w:val="00017488"/>
    <w:rsid w:val="0004395B"/>
    <w:rsid w:val="00043DCA"/>
    <w:rsid w:val="0006272C"/>
    <w:rsid w:val="00090EE5"/>
    <w:rsid w:val="00095D40"/>
    <w:rsid w:val="00097213"/>
    <w:rsid w:val="000B565E"/>
    <w:rsid w:val="00164F03"/>
    <w:rsid w:val="001A7834"/>
    <w:rsid w:val="001A79EE"/>
    <w:rsid w:val="001C6396"/>
    <w:rsid w:val="00210182"/>
    <w:rsid w:val="00237BAF"/>
    <w:rsid w:val="00252D0F"/>
    <w:rsid w:val="00254FF4"/>
    <w:rsid w:val="00264B79"/>
    <w:rsid w:val="0026734B"/>
    <w:rsid w:val="00284BCD"/>
    <w:rsid w:val="00325B06"/>
    <w:rsid w:val="00341701"/>
    <w:rsid w:val="003E0E28"/>
    <w:rsid w:val="00421696"/>
    <w:rsid w:val="00463E9E"/>
    <w:rsid w:val="004D6589"/>
    <w:rsid w:val="005050A1"/>
    <w:rsid w:val="005B6220"/>
    <w:rsid w:val="005B6BC4"/>
    <w:rsid w:val="005D4094"/>
    <w:rsid w:val="006001E0"/>
    <w:rsid w:val="00621481"/>
    <w:rsid w:val="00644C14"/>
    <w:rsid w:val="00665930"/>
    <w:rsid w:val="006B1BA6"/>
    <w:rsid w:val="006D1337"/>
    <w:rsid w:val="006F2BB5"/>
    <w:rsid w:val="007403F9"/>
    <w:rsid w:val="0074604B"/>
    <w:rsid w:val="0076741C"/>
    <w:rsid w:val="00777581"/>
    <w:rsid w:val="00781FA8"/>
    <w:rsid w:val="007A2FDE"/>
    <w:rsid w:val="007A7362"/>
    <w:rsid w:val="007B002C"/>
    <w:rsid w:val="008225C9"/>
    <w:rsid w:val="00831375"/>
    <w:rsid w:val="00832512"/>
    <w:rsid w:val="008326A3"/>
    <w:rsid w:val="00872FD3"/>
    <w:rsid w:val="00883BBA"/>
    <w:rsid w:val="008E4F6F"/>
    <w:rsid w:val="008F287D"/>
    <w:rsid w:val="00912B0F"/>
    <w:rsid w:val="009277E5"/>
    <w:rsid w:val="00941B85"/>
    <w:rsid w:val="00942601"/>
    <w:rsid w:val="00944C8C"/>
    <w:rsid w:val="009B2590"/>
    <w:rsid w:val="009C14DB"/>
    <w:rsid w:val="009F0C17"/>
    <w:rsid w:val="009F1BE4"/>
    <w:rsid w:val="009F472D"/>
    <w:rsid w:val="00A0135D"/>
    <w:rsid w:val="00A809C7"/>
    <w:rsid w:val="00A84E6D"/>
    <w:rsid w:val="00AA44FA"/>
    <w:rsid w:val="00AA6D58"/>
    <w:rsid w:val="00AC6CA5"/>
    <w:rsid w:val="00B94D33"/>
    <w:rsid w:val="00BA6340"/>
    <w:rsid w:val="00BD6893"/>
    <w:rsid w:val="00BE5175"/>
    <w:rsid w:val="00C553D2"/>
    <w:rsid w:val="00C626E4"/>
    <w:rsid w:val="00C62D11"/>
    <w:rsid w:val="00C73CD3"/>
    <w:rsid w:val="00CB5D30"/>
    <w:rsid w:val="00CC3A8A"/>
    <w:rsid w:val="00CD2F85"/>
    <w:rsid w:val="00CE7C0F"/>
    <w:rsid w:val="00D05534"/>
    <w:rsid w:val="00D85C4F"/>
    <w:rsid w:val="00DA459A"/>
    <w:rsid w:val="00DB2383"/>
    <w:rsid w:val="00DC45D6"/>
    <w:rsid w:val="00E02FAF"/>
    <w:rsid w:val="00E27181"/>
    <w:rsid w:val="00E3473C"/>
    <w:rsid w:val="00E45D66"/>
    <w:rsid w:val="00EC4058"/>
    <w:rsid w:val="00EC6C31"/>
    <w:rsid w:val="00EE382D"/>
    <w:rsid w:val="00F12EF0"/>
    <w:rsid w:val="00F224A9"/>
    <w:rsid w:val="00F22EFC"/>
    <w:rsid w:val="00FC660D"/>
    <w:rsid w:val="00FE3638"/>
    <w:rsid w:val="00FE4394"/>
    <w:rsid w:val="00FE4F9B"/>
    <w:rsid w:val="018443CF"/>
    <w:rsid w:val="178204D0"/>
    <w:rsid w:val="27D51673"/>
    <w:rsid w:val="3E996712"/>
    <w:rsid w:val="46DA3770"/>
    <w:rsid w:val="718A57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C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809C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A809C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809C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809C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A809C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A809C7"/>
    <w:rPr>
      <w:sz w:val="18"/>
      <w:szCs w:val="18"/>
    </w:rPr>
  </w:style>
  <w:style w:type="character" w:customStyle="1" w:styleId="Char">
    <w:name w:val="页脚 Char"/>
    <w:basedOn w:val="a0"/>
    <w:link w:val="a3"/>
    <w:uiPriority w:val="99"/>
    <w:qFormat/>
    <w:rsid w:val="00A809C7"/>
    <w:rPr>
      <w:sz w:val="18"/>
      <w:szCs w:val="18"/>
    </w:rPr>
  </w:style>
  <w:style w:type="character" w:customStyle="1" w:styleId="1Char">
    <w:name w:val="标题 1 Char"/>
    <w:basedOn w:val="a0"/>
    <w:link w:val="1"/>
    <w:uiPriority w:val="9"/>
    <w:rsid w:val="00A809C7"/>
    <w:rPr>
      <w:rFonts w:ascii="宋体" w:eastAsia="宋体" w:hAnsi="宋体" w:cs="宋体"/>
      <w:b/>
      <w:bCs/>
      <w:kern w:val="36"/>
      <w:sz w:val="48"/>
      <w:szCs w:val="48"/>
    </w:rPr>
  </w:style>
  <w:style w:type="character" w:customStyle="1" w:styleId="2Char">
    <w:name w:val="标题 2 Char"/>
    <w:basedOn w:val="a0"/>
    <w:link w:val="2"/>
    <w:uiPriority w:val="9"/>
    <w:rsid w:val="00A809C7"/>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63</cp:revision>
  <cp:lastPrinted>2022-08-01T08:02:00Z</cp:lastPrinted>
  <dcterms:created xsi:type="dcterms:W3CDTF">2022-07-01T06:55:00Z</dcterms:created>
  <dcterms:modified xsi:type="dcterms:W3CDTF">2022-08-17T05:12:00Z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