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3"/>
        <w:spacing w:line="582" w:lineRule="exact"/>
        <w:ind w:firstLine="0" w:firstLineChars="0"/>
        <w:jc w:val="center"/>
        <w:rPr>
          <w:rFonts w:hint="eastAsia" w:ascii="方正小标宋_GBK" w:eastAsia="方正小标宋_GBK"/>
          <w:kern w:val="0"/>
          <w:sz w:val="44"/>
          <w:szCs w:val="44"/>
        </w:rPr>
      </w:pPr>
      <w:r>
        <w:rPr>
          <w:rFonts w:hint="eastAsia" w:ascii="方正小标宋_GBK" w:eastAsia="方正小标宋_GBK"/>
          <w:kern w:val="0"/>
          <w:sz w:val="44"/>
          <w:szCs w:val="44"/>
        </w:rPr>
        <w:t>苏州市“十四五”社会信用体系建设规划</w:t>
      </w:r>
    </w:p>
    <w:p>
      <w:pPr>
        <w:ind w:firstLine="632" w:firstLineChars="200"/>
        <w:rPr>
          <w:rFonts w:hint="eastAsia"/>
        </w:rPr>
      </w:pPr>
    </w:p>
    <w:p>
      <w:pPr>
        <w:ind w:firstLine="632" w:firstLineChars="200"/>
        <w:rPr>
          <w:rFonts w:hint="eastAsia"/>
        </w:rPr>
      </w:pPr>
      <w:r>
        <w:rPr>
          <w:rFonts w:hint="eastAsia"/>
        </w:rPr>
        <w:t>为进一步完善苏州市社会信用体系，全面深化“诚信苏州”建设，推动经济社会高质量发展，根据《中共中央办公厅国务院办公厅关于推进社会信用体系建设高质量发展促进形成新发展格局的意见》《国务院办公厅关于加快推进社会信用体系建设构建以信用为基础的新型监管机制的指导意见》《江苏省“十四五”社会信用体系建设规划》和《苏州市国民经济和社会发展第十四个五年规划和二</w:t>
      </w:r>
      <w:r>
        <w:rPr>
          <w:rFonts w:hint="eastAsia" w:ascii="宋体" w:hAnsi="宋体" w:eastAsia="宋体" w:cs="宋体"/>
        </w:rPr>
        <w:t>〇</w:t>
      </w:r>
      <w:r>
        <w:rPr>
          <w:rFonts w:hint="eastAsia"/>
        </w:rPr>
        <w:t>三五年远景目标纲要》等文件，结合苏州实际，编制本规划，规划期为2021～2025年。本规划是“十四五”时期苏州市社会信用体系建设的重要依据和行动纲领。</w:t>
      </w:r>
    </w:p>
    <w:p>
      <w:pPr>
        <w:pStyle w:val="2"/>
        <w:keepNext w:val="0"/>
        <w:keepLines w:val="0"/>
        <w:spacing w:before="0" w:after="0" w:line="240" w:lineRule="auto"/>
        <w:ind w:firstLine="632" w:firstLineChars="200"/>
        <w:rPr>
          <w:rFonts w:hint="eastAsia" w:ascii="黑体" w:hAnsi="黑体" w:eastAsia="黑体" w:cs="Times New Roman"/>
          <w:b w:val="0"/>
          <w:kern w:val="0"/>
          <w:sz w:val="32"/>
          <w:szCs w:val="32"/>
        </w:rPr>
      </w:pPr>
      <w:bookmarkStart w:id="0" w:name="_Toc30965"/>
      <w:bookmarkStart w:id="1" w:name="_Toc83289927"/>
      <w:bookmarkStart w:id="2" w:name="_Toc420870653"/>
      <w:bookmarkStart w:id="3" w:name="_Toc12606"/>
      <w:bookmarkStart w:id="4" w:name="_Toc632122854"/>
      <w:bookmarkStart w:id="5" w:name="_Toc344871797"/>
      <w:bookmarkStart w:id="6" w:name="_Toc95728720"/>
      <w:bookmarkStart w:id="7" w:name="_Toc79574491"/>
      <w:bookmarkStart w:id="8" w:name="_Toc25179"/>
      <w:bookmarkStart w:id="9" w:name="_Toc24185"/>
      <w:bookmarkStart w:id="10" w:name="_Toc1594846498"/>
      <w:bookmarkStart w:id="11" w:name="_Toc15463"/>
      <w:bookmarkStart w:id="12" w:name="_Toc5696"/>
      <w:bookmarkStart w:id="13" w:name="_Toc20424"/>
      <w:bookmarkStart w:id="14" w:name="_Toc1724011421"/>
      <w:bookmarkStart w:id="15" w:name="_Toc1312801122"/>
      <w:bookmarkStart w:id="16" w:name="_Toc1270414730"/>
      <w:bookmarkStart w:id="17" w:name="_Toc52750968"/>
      <w:bookmarkStart w:id="18" w:name="_Toc27573"/>
      <w:bookmarkStart w:id="19" w:name="_Toc1165910590"/>
      <w:bookmarkStart w:id="20" w:name="_Toc1308616119"/>
      <w:bookmarkStart w:id="21" w:name="_Toc75156543"/>
      <w:bookmarkStart w:id="22" w:name="_Toc26551"/>
      <w:bookmarkStart w:id="23" w:name="_Toc475530487"/>
      <w:bookmarkStart w:id="24" w:name="_Toc29547"/>
      <w:bookmarkStart w:id="25" w:name="_Toc31700"/>
      <w:bookmarkStart w:id="26" w:name="_Toc19731"/>
      <w:bookmarkStart w:id="27" w:name="_Toc1175883302"/>
      <w:bookmarkStart w:id="28" w:name="_Toc1363696370"/>
      <w:bookmarkStart w:id="29" w:name="_Toc95741967"/>
      <w:bookmarkStart w:id="30" w:name="_Toc1647361844"/>
      <w:bookmarkStart w:id="31" w:name="_Toc2125410711"/>
      <w:bookmarkStart w:id="32" w:name="_Toc12491"/>
      <w:bookmarkStart w:id="33" w:name="_Toc271889141"/>
      <w:bookmarkStart w:id="34" w:name="_Toc2781"/>
      <w:r>
        <w:rPr>
          <w:rFonts w:hint="eastAsia" w:ascii="黑体" w:hAnsi="黑体" w:eastAsia="黑体" w:cs="Times New Roman"/>
          <w:b w:val="0"/>
          <w:kern w:val="0"/>
          <w:sz w:val="32"/>
          <w:szCs w:val="32"/>
        </w:rPr>
        <w:t>一、</w:t>
      </w:r>
      <w:bookmarkEnd w:id="0"/>
      <w:r>
        <w:rPr>
          <w:rFonts w:hint="eastAsia" w:ascii="黑体" w:hAnsi="黑体" w:eastAsia="黑体" w:cs="Times New Roman"/>
          <w:b w:val="0"/>
          <w:kern w:val="0"/>
          <w:sz w:val="32"/>
          <w:szCs w:val="32"/>
        </w:rPr>
        <w:t>规划背景</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pPr>
        <w:ind w:firstLine="632" w:firstLineChars="200"/>
        <w:outlineLvl w:val="0"/>
        <w:rPr>
          <w:rFonts w:hint="eastAsia" w:ascii="楷体_GB2312" w:eastAsia="楷体_GB2312"/>
        </w:rPr>
      </w:pPr>
      <w:bookmarkStart w:id="35" w:name="_Toc18684"/>
      <w:bookmarkStart w:id="36" w:name="_Toc15522"/>
      <w:bookmarkStart w:id="37" w:name="_Toc2923"/>
      <w:bookmarkStart w:id="38" w:name="_Toc5003"/>
      <w:r>
        <w:rPr>
          <w:rFonts w:hint="eastAsia" w:ascii="楷体_GB2312" w:eastAsia="楷体_GB2312"/>
        </w:rPr>
        <w:t>（一）发展基础</w:t>
      </w:r>
      <w:bookmarkEnd w:id="35"/>
      <w:bookmarkEnd w:id="36"/>
      <w:bookmarkEnd w:id="37"/>
      <w:bookmarkEnd w:id="38"/>
      <w:r>
        <w:rPr>
          <w:rFonts w:hint="eastAsia" w:ascii="楷体_GB2312" w:eastAsia="楷体_GB2312"/>
        </w:rPr>
        <w:t>。</w:t>
      </w:r>
    </w:p>
    <w:p>
      <w:pPr>
        <w:ind w:firstLine="632" w:firstLineChars="200"/>
        <w:rPr>
          <w:rFonts w:hint="eastAsia"/>
        </w:rPr>
      </w:pPr>
      <w:r>
        <w:rPr>
          <w:rFonts w:hint="eastAsia"/>
        </w:rPr>
        <w:t>“十三五”时期，苏州市坚持将社会信用体系建设作为构建高水平社会主义市场经济体制、实现治理体系和治理能力现代化的重要支撑，成功创建全国首批社会信用体系建设示范城市，在全国城市信用状况监测中长期保持地级市第一、第二名，多次获得省社会信用体系建设专项考评第一等次，基本建立起符合国际惯例、具有苏州特色、与经济社会发展水平相适应的社会信用体系，为“十四五”时期建设更高水平“诚信苏州”奠定了坚实基础。</w:t>
      </w:r>
    </w:p>
    <w:p>
      <w:pPr>
        <w:ind w:firstLine="632" w:firstLineChars="200"/>
        <w:outlineLvl w:val="0"/>
        <w:rPr>
          <w:rFonts w:hint="eastAsia"/>
        </w:rPr>
      </w:pPr>
      <w:bookmarkStart w:id="39" w:name="_Toc1206"/>
      <w:bookmarkStart w:id="40" w:name="_Toc13702"/>
      <w:bookmarkStart w:id="41" w:name="_Toc25808"/>
      <w:bookmarkStart w:id="42" w:name="_Toc26661"/>
      <w:r>
        <w:rPr>
          <w:rFonts w:hint="eastAsia"/>
        </w:rPr>
        <w:t>1．信用建设基础全面夯实</w:t>
      </w:r>
      <w:bookmarkEnd w:id="39"/>
      <w:bookmarkEnd w:id="40"/>
      <w:bookmarkEnd w:id="41"/>
      <w:bookmarkEnd w:id="42"/>
      <w:r>
        <w:rPr>
          <w:rFonts w:hint="eastAsia"/>
        </w:rPr>
        <w:t>。</w:t>
      </w:r>
    </w:p>
    <w:p>
      <w:pPr>
        <w:ind w:firstLine="632" w:firstLineChars="200"/>
        <w:rPr>
          <w:rFonts w:hint="eastAsia"/>
        </w:rPr>
      </w:pPr>
      <w:r>
        <w:rPr>
          <w:rFonts w:hint="eastAsia"/>
          <w:bCs/>
        </w:rPr>
        <w:t>制度体系不断健全。</w:t>
      </w:r>
      <w:r>
        <w:rPr>
          <w:rFonts w:hint="eastAsia"/>
        </w:rPr>
        <w:t>围绕《苏州市社会信用体系建设规划（2014～2020年）》，市委、市政府相继出台《关于加强政务诚信建设的实施意见》《关于加快推进社会信用体系建设构建以信用为基础的新型监管机制的实施办法》等文件，全面统筹推进信用工作。各地各部门制定发布信用信息管理、信用承诺、信用评价、分级分类监管、信用奖惩、信用修复等政策文件超200项，基本建立起覆盖政务诚信、商务诚信、社会诚信、司法公信四大领域，服务各类信用主体，涵盖信用管理全流程的信用制度体系。</w:t>
      </w:r>
    </w:p>
    <w:p>
      <w:pPr>
        <w:ind w:firstLine="632" w:firstLineChars="200"/>
        <w:rPr>
          <w:rFonts w:hint="eastAsia"/>
        </w:rPr>
      </w:pPr>
      <w:r>
        <w:rPr>
          <w:rFonts w:hint="eastAsia"/>
          <w:bCs/>
        </w:rPr>
        <w:t>工作机制更加完善。</w:t>
      </w:r>
      <w:r>
        <w:rPr>
          <w:rFonts w:hint="eastAsia"/>
        </w:rPr>
        <w:t>结合机构改革和职能划转，适时调整苏州市社会信用体系建设领导小组，各市、区均成立相应的领导协调机构，形成两级联动的工作合力。定期召开领导小组会议，研究部署信用体系建设工作。将信用工作纳入市级机关绩效考核，印发年度工作要点和任务分解，并对完成情况开展专项督查，确保工作取得实效。设立社会信用体系建设专项资金，“十三五”期间累计投入超4000万元。</w:t>
      </w:r>
    </w:p>
    <w:p>
      <w:pPr>
        <w:ind w:firstLine="632" w:firstLineChars="200"/>
        <w:rPr>
          <w:rFonts w:hint="eastAsia"/>
        </w:rPr>
      </w:pPr>
      <w:r>
        <w:rPr>
          <w:rFonts w:hint="eastAsia"/>
          <w:bCs/>
        </w:rPr>
        <w:t>信息系统迭代升级。</w:t>
      </w:r>
      <w:r>
        <w:rPr>
          <w:rFonts w:hint="eastAsia"/>
        </w:rPr>
        <w:t>建成“一网两库一平台、两大应用作支撑”的公共信用信息系统。“十三五”期间，共归集70万法人、1200万自然人信用信息9.3亿条，较“十二五”末增长近30倍。全面推进“双公示”工作，归集“双公示”信息510万条。搭建资源服务驾驶舱，向各地各部门共享65类、2.4亿条信用信息；向市场机构共享2395万条信用信息。在全国信用信息共享平台和信用门户网站建设观摩评比中，屡获第一名、特别贡献奖、优秀示范平台网站、APP第一名等荣誉。</w:t>
      </w:r>
    </w:p>
    <w:p>
      <w:pPr>
        <w:ind w:firstLine="632" w:firstLineChars="200"/>
        <w:rPr>
          <w:rFonts w:hint="eastAsia"/>
        </w:rPr>
      </w:pPr>
      <w:r>
        <w:rPr>
          <w:rFonts w:hint="eastAsia"/>
          <w:bCs/>
        </w:rPr>
        <w:t>服务市场健康发展。</w:t>
      </w:r>
      <w:r>
        <w:rPr>
          <w:rFonts w:hint="eastAsia"/>
        </w:rPr>
        <w:t>培育信用行业协会5个，信用产业园区2家，引导80余家信用服务机构规范申报信息，2家企业征信机构取得人民银行征信牌照。引入服务机构参与企业信用修复培训、企业信用管理培训和示范创建等涉企服务工作。持续开展信用管理师职业技能培训和等级评价，培养（助理）信用管理师691名。</w:t>
      </w:r>
    </w:p>
    <w:p>
      <w:pPr>
        <w:ind w:firstLine="632" w:firstLineChars="200"/>
        <w:outlineLvl w:val="0"/>
        <w:rPr>
          <w:rFonts w:hint="eastAsia"/>
        </w:rPr>
      </w:pPr>
      <w:bookmarkStart w:id="43" w:name="_Toc12483"/>
      <w:bookmarkStart w:id="44" w:name="_Toc1910"/>
      <w:bookmarkStart w:id="45" w:name="_Toc24653"/>
      <w:bookmarkStart w:id="46" w:name="_Toc24326"/>
      <w:r>
        <w:rPr>
          <w:rFonts w:hint="eastAsia"/>
        </w:rPr>
        <w:t>2．信用应用领域全面</w:t>
      </w:r>
      <w:bookmarkEnd w:id="43"/>
      <w:bookmarkEnd w:id="44"/>
      <w:bookmarkEnd w:id="45"/>
      <w:bookmarkEnd w:id="46"/>
      <w:r>
        <w:rPr>
          <w:rFonts w:hint="eastAsia"/>
        </w:rPr>
        <w:t>拓展。</w:t>
      </w:r>
    </w:p>
    <w:p>
      <w:pPr>
        <w:ind w:firstLine="632" w:firstLineChars="200"/>
        <w:rPr>
          <w:rFonts w:hint="eastAsia"/>
        </w:rPr>
      </w:pPr>
      <w:r>
        <w:rPr>
          <w:rFonts w:hint="eastAsia"/>
          <w:bCs/>
        </w:rPr>
        <w:t>惠民便企场景不断深化。</w:t>
      </w:r>
      <w:r>
        <w:rPr>
          <w:rFonts w:hint="eastAsia"/>
        </w:rPr>
        <w:t>积极探索“信易+”应用创新，开发“信易惠”“信易文”“信易健”“信易停”“信易保”“信易批”等守信激励场景，参与人次近10万。率先探索“信易贷”融资服务模式，推出金融产品350余款，助力中小企业融资9275亿元，惠及4万余户企业，信用服务实体经济成效显著。疫情期间率先出台“苏信十六条”，优化在线信用服务，发挥信用激励作用，精准助力企业复工复产。</w:t>
      </w:r>
    </w:p>
    <w:p>
      <w:pPr>
        <w:ind w:firstLine="632" w:firstLineChars="200"/>
        <w:rPr>
          <w:rFonts w:hint="eastAsia"/>
        </w:rPr>
      </w:pPr>
      <w:r>
        <w:rPr>
          <w:rFonts w:hint="eastAsia"/>
          <w:bCs/>
        </w:rPr>
        <w:t>公共信用服务提档升级。</w:t>
      </w:r>
      <w:r>
        <w:rPr>
          <w:rFonts w:hint="eastAsia"/>
        </w:rPr>
        <w:t>在全省率先设立公共信用服务大厅，并在各地设立分窗口。通过门户网站、信息平台和服务窗口，为31个市级部门、10个板块提供信用查询、信用审查、异议处理、信用修复等服务，覆盖招标投标、评优评先、项目申报、资金认定等237个行政事项，涉及企业56.7万家、个人2万余名。</w:t>
      </w:r>
    </w:p>
    <w:p>
      <w:pPr>
        <w:ind w:firstLine="632" w:firstLineChars="200"/>
        <w:rPr>
          <w:rFonts w:hint="eastAsia"/>
        </w:rPr>
      </w:pPr>
      <w:r>
        <w:rPr>
          <w:rFonts w:hint="eastAsia"/>
          <w:bCs/>
        </w:rPr>
        <w:t>企业信用服务持续优化。面向社会公众</w:t>
      </w:r>
      <w:r>
        <w:rPr>
          <w:rFonts w:hint="eastAsia"/>
        </w:rPr>
        <w:t>提供线上线下信用查询服务，出具企业信用查询报告19933份。培育信用管理培训合格企业4740家，创建市级信用管理示范企业448家、省级信用管理示范企业44家。自2017年举办全国首期信用修复培训班以来，持续开展公益性信用修复培训，累计组织29场次，培训企业2608家。同步开设在线信用修复培训专栏，方便企业自主学习。</w:t>
      </w:r>
    </w:p>
    <w:p>
      <w:pPr>
        <w:ind w:firstLine="632" w:firstLineChars="200"/>
        <w:rPr>
          <w:rFonts w:hint="eastAsia"/>
        </w:rPr>
      </w:pPr>
      <w:r>
        <w:rPr>
          <w:rFonts w:hint="eastAsia"/>
          <w:bCs/>
        </w:rPr>
        <w:t>信用监管机制初见成效。</w:t>
      </w:r>
      <w:r>
        <w:rPr>
          <w:rFonts w:hint="eastAsia"/>
        </w:rPr>
        <w:t>初步建立以信用为基础，覆盖事前事中事后的新型监管机制。在交通运输、文化旅游、医疗卫生、城市管理等领域探索实施信用承诺制度。在常熟市开展证明事项告知承诺制省级试点。开发“企信通”平台，实现本地和全国数据融合，创新企业信用评价、风险预警监测等应用。在多个领域探索信用分级分类监管，市场监管局对7万多家餐饮企业实施分类监管；住建局开发“苏州市建筑业企业信用综合评价系统”，对建筑施工企业进行信用评价；医保局建设诚信医保信用评级平台，对两定机构、参保企业与参保个人开展分级管理。依法依规开展信用奖惩，出台联合奖惩相关制度99项，建设联合奖惩子平台，归集共享各类“红黑名单”信息32.9万条。</w:t>
      </w:r>
    </w:p>
    <w:p>
      <w:pPr>
        <w:ind w:firstLine="632" w:firstLineChars="200"/>
        <w:outlineLvl w:val="0"/>
        <w:rPr>
          <w:rFonts w:hint="eastAsia"/>
        </w:rPr>
      </w:pPr>
      <w:bookmarkStart w:id="47" w:name="_Toc22037"/>
      <w:bookmarkStart w:id="48" w:name="_Toc21791"/>
      <w:bookmarkStart w:id="49" w:name="_Toc16111"/>
      <w:bookmarkStart w:id="50" w:name="_Toc23944"/>
      <w:r>
        <w:rPr>
          <w:rFonts w:hint="eastAsia"/>
        </w:rPr>
        <w:t>3．信用创新探索全面</w:t>
      </w:r>
      <w:bookmarkEnd w:id="47"/>
      <w:bookmarkEnd w:id="48"/>
      <w:bookmarkEnd w:id="49"/>
      <w:bookmarkEnd w:id="50"/>
      <w:r>
        <w:rPr>
          <w:rFonts w:hint="eastAsia"/>
        </w:rPr>
        <w:t>深化。</w:t>
      </w:r>
    </w:p>
    <w:p>
      <w:pPr>
        <w:ind w:firstLine="632" w:firstLineChars="200"/>
        <w:rPr>
          <w:rFonts w:hint="eastAsia"/>
        </w:rPr>
      </w:pPr>
      <w:r>
        <w:rPr>
          <w:rFonts w:hint="eastAsia"/>
          <w:bCs/>
        </w:rPr>
        <w:t>首创个人诚信“桂花分”。</w:t>
      </w:r>
      <w:r>
        <w:rPr>
          <w:rFonts w:hint="eastAsia"/>
        </w:rPr>
        <w:t>2016年在全国首创个人信用评价“桂花分”，以“数据+模型+场景”为特色，从五个维度22大类、243个评分指标项进行大数据分析，形成个人信用画像，实现常住人口全覆盖。开发“桂花分”惠民应用，在公共交通、图书借阅、日常消费等领域搭建激励场景。2020年升级改版，增加信息自主申报、实名授权验证、“诚信码”对接应用等功能，持续增强信用获得感。</w:t>
      </w:r>
    </w:p>
    <w:p>
      <w:pPr>
        <w:ind w:firstLine="632" w:firstLineChars="200"/>
        <w:rPr>
          <w:rFonts w:hint="eastAsia"/>
        </w:rPr>
      </w:pPr>
      <w:r>
        <w:rPr>
          <w:rFonts w:hint="eastAsia"/>
          <w:bCs/>
        </w:rPr>
        <w:t>建设全国首个数字征信实验区。</w:t>
      </w:r>
      <w:r>
        <w:rPr>
          <w:rFonts w:hint="eastAsia"/>
        </w:rPr>
        <w:t>2019年，苏州获批全国首个小微企业数字征信实验区，全面搭建制度框架，逐步健全地方政府配套支持政策，基本形成政府主导、金融机构和企业协同的征信联动体系。培育壮大苏州企业征信服务有限公司，升级苏州地方征信平台，累计收录企业54.15万户，入库数据3.76亿条，查询量171.84万次。</w:t>
      </w:r>
    </w:p>
    <w:p>
      <w:pPr>
        <w:ind w:firstLine="632" w:firstLineChars="200"/>
        <w:rPr>
          <w:rFonts w:hint="eastAsia"/>
        </w:rPr>
      </w:pPr>
      <w:r>
        <w:rPr>
          <w:rFonts w:hint="eastAsia"/>
          <w:bCs/>
        </w:rPr>
        <w:t>探索“一地一特色”创建。</w:t>
      </w:r>
      <w:r>
        <w:rPr>
          <w:rFonts w:hint="eastAsia"/>
        </w:rPr>
        <w:t>加强分类指导，推进信用工作向各市、区延伸，多项创新成果复制推广。昆山市稳步推进全国守信激励创新试点建设，“诚信街区”“信用村”遍地开花。吴江区以“信用+日常监管、信用+丝绸行业、信用+商业街区、信用+农村治理”四个方面为切入口，打造农村社会信用体系建设示范样本。苏州工业园区“一个平台管信用”被商务部作为构建开放型经济新体制综合试点经验向全国推广。太仓市创新开展诚信互动接力、诚信知识竞赛、“诚信在我心”演讲比赛、主题微电影评选等活动，精心打造“诚信建设万里行”太仓品牌。</w:t>
      </w:r>
    </w:p>
    <w:p>
      <w:pPr>
        <w:ind w:firstLine="632" w:firstLineChars="200"/>
        <w:rPr>
          <w:rFonts w:hint="eastAsia"/>
        </w:rPr>
      </w:pPr>
      <w:r>
        <w:rPr>
          <w:rFonts w:hint="eastAsia"/>
          <w:bCs/>
        </w:rPr>
        <w:t>完善区域信用协同机制。</w:t>
      </w:r>
      <w:r>
        <w:rPr>
          <w:rFonts w:hint="eastAsia"/>
        </w:rPr>
        <w:t>融入长三角区域一体化发展战略，在规制共建、信息共享、监管共为等方面做出积极探索。吴江区与上海市青浦区、浙江省嘉善县签订《长三角生态绿色一体化发展示范区信用合作备忘录》，共同建设信用制度健全、信息流动畅通、服务供给充分、联动奖惩有效、信用环境优化的示范区。昆山市、太仓市与上海市嘉定区签署《共同推进嘉昆太协同发展创新圈社会信用体系建设合作框架协议》，打造“信用嘉昆太”品牌。苏锡常三市签订《信用应用一体化战略合作协议》，创新信用惠民便企异地协同应用。</w:t>
      </w:r>
    </w:p>
    <w:p>
      <w:pPr>
        <w:ind w:firstLine="632" w:firstLineChars="200"/>
        <w:outlineLvl w:val="0"/>
        <w:rPr>
          <w:rFonts w:hint="eastAsia"/>
        </w:rPr>
      </w:pPr>
      <w:bookmarkStart w:id="51" w:name="_Toc22005"/>
      <w:bookmarkStart w:id="52" w:name="_Toc1081"/>
      <w:bookmarkStart w:id="53" w:name="_Toc10054"/>
      <w:bookmarkStart w:id="54" w:name="_Toc13574"/>
      <w:r>
        <w:rPr>
          <w:rFonts w:hint="eastAsia"/>
        </w:rPr>
        <w:t>4．社会诚信意识全面提升</w:t>
      </w:r>
      <w:bookmarkEnd w:id="51"/>
      <w:bookmarkEnd w:id="52"/>
      <w:bookmarkEnd w:id="53"/>
      <w:bookmarkEnd w:id="54"/>
      <w:r>
        <w:rPr>
          <w:rFonts w:hint="eastAsia"/>
        </w:rPr>
        <w:t>。</w:t>
      </w:r>
    </w:p>
    <w:p>
      <w:pPr>
        <w:ind w:firstLine="632" w:firstLineChars="200"/>
        <w:rPr>
          <w:rFonts w:hint="eastAsia"/>
        </w:rPr>
      </w:pPr>
      <w:r>
        <w:rPr>
          <w:rFonts w:hint="eastAsia"/>
          <w:bCs/>
        </w:rPr>
        <w:t>诚信宣传阵地逐步拓展。</w:t>
      </w:r>
      <w:r>
        <w:rPr>
          <w:rFonts w:hint="eastAsia"/>
        </w:rPr>
        <w:t>将“信用苏州”网站和“诚信苏州”微信公众号打造为诚信宣传主窗口，网站累计发布信息5.1万余条，日均访问量超过1.6万人次；微信公众号累计推送信息4192篇，总阅读量超过265万人次。拓展线下媒体宣传阵地，在户外大型广告牌、各类电子屏、宣传栏，刊载诚信宣传海报和宣传标语。</w:t>
      </w:r>
    </w:p>
    <w:p>
      <w:pPr>
        <w:ind w:firstLine="632" w:firstLineChars="200"/>
        <w:rPr>
          <w:rFonts w:hint="eastAsia"/>
        </w:rPr>
      </w:pPr>
      <w:r>
        <w:rPr>
          <w:rFonts w:hint="eastAsia"/>
          <w:bCs/>
        </w:rPr>
        <w:t>诚信宣传活动形式多样。</w:t>
      </w:r>
      <w:r>
        <w:rPr>
          <w:rFonts w:hint="eastAsia"/>
        </w:rPr>
        <w:t>通过诚信宣传进学校、进社区、进机关、进农村、进企业等，广泛普及信用知识，发放各类宣传资料5万余份。持续开展全国网络媒体集中采风活动，刊发报道超过500篇。制作并发布年度信用宣传视频和诚信商家视频。连续编发《苏州市社会信用体系建设蓝皮书》和《苏州市民信用生活指南》，社会诚信氛围日益浓厚。</w:t>
      </w:r>
    </w:p>
    <w:p>
      <w:pPr>
        <w:ind w:firstLine="632" w:firstLineChars="200"/>
        <w:rPr>
          <w:rFonts w:hint="eastAsia"/>
        </w:rPr>
      </w:pPr>
      <w:r>
        <w:rPr>
          <w:rFonts w:hint="eastAsia"/>
          <w:bCs/>
        </w:rPr>
        <w:t>诚信主题实践不断深化。</w:t>
      </w:r>
      <w:r>
        <w:rPr>
          <w:rFonts w:hint="eastAsia"/>
        </w:rPr>
        <w:t>开展“诚信建设万里行”“寻找桂花分达人”“百城万企亮信用”“百万里百万企”信用承诺等诚信主题实践活动。结合“3·15”消费者权益日、“6·14”信用记录关爱日等重要时间节点，大力宣传诚信文化，倡导诚信守法的社会风尚。开展诚信缺失突出问题专项治理，打造不敢失信、不能失信、不愿失信的社会环境。</w:t>
      </w:r>
    </w:p>
    <w:p>
      <w:pPr>
        <w:ind w:firstLine="632" w:firstLineChars="200"/>
        <w:outlineLvl w:val="0"/>
        <w:rPr>
          <w:rFonts w:hint="eastAsia" w:ascii="楷体_GB2312" w:eastAsia="楷体_GB2312"/>
        </w:rPr>
      </w:pPr>
      <w:bookmarkStart w:id="55" w:name="_Toc10240"/>
      <w:bookmarkStart w:id="56" w:name="_Toc7658"/>
      <w:bookmarkStart w:id="57" w:name="_Toc6193"/>
      <w:bookmarkStart w:id="58" w:name="_Toc9775"/>
      <w:r>
        <w:rPr>
          <w:rFonts w:hint="eastAsia" w:ascii="楷体_GB2312" w:eastAsia="楷体_GB2312"/>
        </w:rPr>
        <w:t>（二）存在问题</w:t>
      </w:r>
      <w:bookmarkEnd w:id="55"/>
      <w:bookmarkEnd w:id="56"/>
      <w:bookmarkEnd w:id="57"/>
      <w:bookmarkEnd w:id="58"/>
      <w:r>
        <w:rPr>
          <w:rFonts w:hint="eastAsia" w:ascii="楷体_GB2312" w:eastAsia="楷体_GB2312"/>
        </w:rPr>
        <w:t>。</w:t>
      </w:r>
    </w:p>
    <w:p>
      <w:pPr>
        <w:ind w:firstLine="632" w:firstLineChars="200"/>
        <w:rPr>
          <w:rFonts w:hint="eastAsia"/>
        </w:rPr>
      </w:pPr>
      <w:r>
        <w:rPr>
          <w:rFonts w:hint="eastAsia"/>
        </w:rPr>
        <w:t>“十三五”期间，苏州市社会信用体系建设虽然取得长足进步，但对照经济社会发展新形势和国家社会信用体系建设高质量发展新要求，仍存在一些薄弱环节，主要表现在：</w:t>
      </w:r>
      <w:r>
        <w:rPr>
          <w:rFonts w:hint="eastAsia"/>
          <w:bCs/>
        </w:rPr>
        <w:t>一是法规制度体系仍需进一步健全。信用配套制度尚不完善，信用信息管理、信用评价标准、市场主体权益保护等制度有待规范。二是信用信息归集仍需进一步加强。</w:t>
      </w:r>
      <w:r>
        <w:rPr>
          <w:rFonts w:hint="eastAsia"/>
        </w:rPr>
        <w:t>省市区三级系统联动有待强化，数据归集覆盖面和规范化有待提高，信息自动比对识别、实时主动共享等功能有待完善。</w:t>
      </w:r>
      <w:r>
        <w:rPr>
          <w:rFonts w:hint="eastAsia"/>
          <w:bCs/>
        </w:rPr>
        <w:t>三是信用信息应用仍需进一步深化。部门应用</w:t>
      </w:r>
      <w:r>
        <w:rPr>
          <w:rFonts w:hint="eastAsia"/>
        </w:rPr>
        <w:t>信用信息的积极性和主动性有待提高，协同监管和结果互认有待加强，信用激励和惩戒联动有待强化。</w:t>
      </w:r>
      <w:r>
        <w:rPr>
          <w:rFonts w:hint="eastAsia"/>
          <w:bCs/>
        </w:rPr>
        <w:t>四是信用服务市场仍需进一步拓展。</w:t>
      </w:r>
      <w:r>
        <w:rPr>
          <w:rFonts w:hint="eastAsia"/>
        </w:rPr>
        <w:t>信用服务机构产品研发能力和推广应用水平有待提升，市场化信用产品应用和信用服务场景有待拓展，市场主体和社会公众对信用产品和服务的需求有待激发。</w:t>
      </w:r>
    </w:p>
    <w:p>
      <w:pPr>
        <w:ind w:firstLine="632" w:firstLineChars="200"/>
        <w:outlineLvl w:val="0"/>
        <w:rPr>
          <w:rFonts w:hint="eastAsia" w:ascii="楷体_GB2312" w:eastAsia="楷体_GB2312"/>
        </w:rPr>
      </w:pPr>
      <w:bookmarkStart w:id="59" w:name="_Toc723"/>
      <w:bookmarkStart w:id="60" w:name="_Toc12762"/>
      <w:bookmarkStart w:id="61" w:name="_Toc95741990"/>
      <w:bookmarkStart w:id="62" w:name="_Toc24290"/>
      <w:bookmarkStart w:id="63" w:name="_Toc1937403763"/>
      <w:bookmarkStart w:id="64" w:name="_Toc696542650"/>
      <w:bookmarkStart w:id="65" w:name="_Toc6474"/>
      <w:bookmarkStart w:id="66" w:name="_Toc3737"/>
      <w:bookmarkStart w:id="67" w:name="_Toc15416763"/>
      <w:bookmarkStart w:id="68" w:name="_Toc17391"/>
      <w:bookmarkStart w:id="69" w:name="_Toc95728743"/>
      <w:bookmarkStart w:id="70" w:name="_Toc1294"/>
      <w:bookmarkStart w:id="71" w:name="_Toc1464694177"/>
      <w:bookmarkStart w:id="72" w:name="_Toc819598927"/>
      <w:bookmarkStart w:id="73" w:name="_Toc1344208133"/>
      <w:bookmarkStart w:id="74" w:name="_Toc1983513789"/>
      <w:bookmarkStart w:id="75" w:name="_Toc307855942"/>
      <w:bookmarkStart w:id="76" w:name="_Toc20848795"/>
      <w:bookmarkStart w:id="77" w:name="_Toc1756568064"/>
      <w:bookmarkStart w:id="78" w:name="_Toc658626251"/>
      <w:bookmarkStart w:id="79" w:name="_Toc83289929"/>
      <w:bookmarkStart w:id="80" w:name="_Toc755407546"/>
      <w:bookmarkStart w:id="81" w:name="_Toc79574493"/>
      <w:bookmarkStart w:id="82" w:name="_Toc22405"/>
      <w:bookmarkStart w:id="83" w:name="_Toc18797"/>
      <w:bookmarkStart w:id="84" w:name="_Toc11466"/>
      <w:bookmarkStart w:id="85" w:name="_Toc12282"/>
      <w:bookmarkStart w:id="86" w:name="_Toc75156545"/>
      <w:bookmarkStart w:id="87" w:name="_Toc1156956761"/>
      <w:bookmarkStart w:id="88" w:name="_Toc1775139119"/>
      <w:bookmarkStart w:id="89" w:name="_Toc1366737509"/>
      <w:bookmarkStart w:id="90" w:name="_Toc22970"/>
      <w:bookmarkStart w:id="91" w:name="_Toc1844753282"/>
      <w:r>
        <w:rPr>
          <w:rFonts w:hint="eastAsia" w:ascii="楷体_GB2312" w:eastAsia="楷体_GB2312"/>
        </w:rPr>
        <w:t>（三）面临形势</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hint="eastAsia" w:ascii="楷体_GB2312" w:eastAsia="楷体_GB2312"/>
        </w:rPr>
        <w:t>。</w:t>
      </w:r>
    </w:p>
    <w:p>
      <w:pPr>
        <w:ind w:firstLine="632" w:firstLineChars="200"/>
        <w:rPr>
          <w:rFonts w:hint="eastAsia"/>
        </w:rPr>
      </w:pPr>
      <w:r>
        <w:rPr>
          <w:rFonts w:hint="eastAsia"/>
        </w:rPr>
        <w:t>“十四五”时期，是苏州加快建设“强富美高”社会主义现代化强市的关键时期，是苏州在全国率先“勾画现代化目标”、在全省“争当表率、争做示范、走在前列”中展现更大作为的决胜阶段，是苏州社会信用体系建设全面发力、全面推动、全面融合、全面提升的黄金机遇期和重要窗口期。当前及今后一个时期，构建与经济社会高质量发展相适应的社会信用体系，有利于降低经济社会运行成本，推进市域治理体系和治理能力现代化，打造“苏州最舒心”营商环境。</w:t>
      </w:r>
    </w:p>
    <w:p>
      <w:pPr>
        <w:ind w:firstLine="632" w:firstLineChars="200"/>
        <w:rPr>
          <w:rFonts w:hint="eastAsia"/>
        </w:rPr>
      </w:pPr>
      <w:r>
        <w:rPr>
          <w:rFonts w:hint="eastAsia"/>
        </w:rPr>
        <w:t>从经济发展方面看，目前我国正处于高质量发展阶段，高水平构建社会主义市场经济体制、高标准建设市场体系，需要大力推进社会信用体系建设，充分发挥信用优化资源配置的作用，构建市场主体之间的互信关系，提升经济运行效率，持续释放和逐步实现各类主体的信用价值。</w:t>
      </w:r>
    </w:p>
    <w:p>
      <w:pPr>
        <w:ind w:firstLine="632" w:firstLineChars="200"/>
        <w:rPr>
          <w:rFonts w:hint="eastAsia"/>
        </w:rPr>
      </w:pPr>
      <w:r>
        <w:rPr>
          <w:rFonts w:hint="eastAsia"/>
        </w:rPr>
        <w:t>从营商环境方面看，持续打造“苏州最舒心”营商环境，需要以高水平政务诚信为引领，优化政务服务环境，构建亲清新型政商关系，充分发挥信用服务实体经济作用，更好激发市场活力和社会创造力。</w:t>
      </w:r>
    </w:p>
    <w:p>
      <w:pPr>
        <w:ind w:firstLine="632" w:firstLineChars="200"/>
        <w:rPr>
          <w:rFonts w:hint="eastAsia"/>
        </w:rPr>
      </w:pPr>
      <w:r>
        <w:rPr>
          <w:rFonts w:hint="eastAsia"/>
        </w:rPr>
        <w:t>从社会治理方面看，实现市域治理体系和治理能力现代化，需要将信用机制嵌入市域治理，创新治理模式和治理手段，发挥信用服务和改善民生作用，激发群众自律自治热情，构建共建共治共享的社会治理格局。</w:t>
      </w:r>
    </w:p>
    <w:p>
      <w:pPr>
        <w:ind w:firstLine="632" w:firstLineChars="200"/>
        <w:rPr>
          <w:rFonts w:hint="eastAsia"/>
        </w:rPr>
      </w:pPr>
      <w:r>
        <w:rPr>
          <w:rFonts w:hint="eastAsia"/>
        </w:rPr>
        <w:t>从技术进步方面看，当前数字经济正成为重组全球要素资源、重塑全球经济结构、改变全球竞争格局的关键力量，以大数据、云计算、人工智能、区块链为代表的新一代信息技术的深度应用，使社会信用体系建设呈现高度数字化、平台化、智慧化特征，为信用工作带来了难得机遇。</w:t>
      </w:r>
    </w:p>
    <w:p>
      <w:pPr>
        <w:ind w:firstLine="632" w:firstLineChars="200"/>
        <w:outlineLvl w:val="0"/>
        <w:rPr>
          <w:rFonts w:hint="eastAsia" w:ascii="黑体" w:hAnsi="黑体" w:eastAsia="黑体"/>
        </w:rPr>
      </w:pPr>
      <w:bookmarkStart w:id="92" w:name="_Toc13175"/>
      <w:bookmarkStart w:id="93" w:name="_Toc156877279"/>
      <w:bookmarkStart w:id="94" w:name="_Toc1709133668"/>
      <w:bookmarkStart w:id="95" w:name="_Toc2093608057"/>
      <w:bookmarkStart w:id="96" w:name="_Toc14724"/>
      <w:bookmarkStart w:id="97" w:name="_Toc95728744"/>
      <w:bookmarkStart w:id="98" w:name="_Toc880236261"/>
      <w:bookmarkStart w:id="99" w:name="_Toc28270"/>
      <w:bookmarkStart w:id="100" w:name="_Toc14473"/>
      <w:bookmarkStart w:id="101" w:name="_Toc549671919"/>
      <w:bookmarkStart w:id="102" w:name="_Toc8988"/>
      <w:bookmarkStart w:id="103" w:name="_Toc8242"/>
      <w:bookmarkStart w:id="104" w:name="_Toc423994582"/>
      <w:bookmarkStart w:id="105" w:name="_Toc1939887304"/>
      <w:bookmarkStart w:id="106" w:name="_Toc1869"/>
      <w:bookmarkStart w:id="107" w:name="_Toc1533663052"/>
      <w:bookmarkStart w:id="108" w:name="_Toc14812"/>
      <w:bookmarkStart w:id="109" w:name="_Toc1293714201"/>
      <w:bookmarkStart w:id="110" w:name="_Toc205447210"/>
      <w:bookmarkStart w:id="111" w:name="_Toc1580973368"/>
      <w:bookmarkStart w:id="112" w:name="_Toc1876033304"/>
      <w:bookmarkStart w:id="113" w:name="_Toc1153483752"/>
      <w:bookmarkStart w:id="114" w:name="_Toc75156546"/>
      <w:bookmarkStart w:id="115" w:name="_Toc1195381301"/>
      <w:bookmarkStart w:id="116" w:name="_Toc223634933"/>
      <w:bookmarkStart w:id="117" w:name="_Toc1844268953"/>
      <w:bookmarkStart w:id="118" w:name="_Toc95741991"/>
      <w:bookmarkStart w:id="119" w:name="_Toc83289930"/>
      <w:bookmarkStart w:id="120" w:name="_Toc24675"/>
      <w:bookmarkStart w:id="121" w:name="_Toc79574494"/>
      <w:bookmarkStart w:id="122" w:name="_Toc27692"/>
      <w:bookmarkStart w:id="123" w:name="_Toc3820"/>
      <w:r>
        <w:rPr>
          <w:rFonts w:hint="eastAsia" w:ascii="黑体" w:hAnsi="黑体" w:eastAsia="黑体"/>
        </w:rPr>
        <w:t>二、总体</w:t>
      </w:r>
      <w:bookmarkStart w:id="124" w:name="_Toc23781"/>
      <w:r>
        <w:rPr>
          <w:rFonts w:hint="eastAsia" w:ascii="黑体" w:hAnsi="黑体" w:eastAsia="黑体"/>
        </w:rPr>
        <w:t>思路</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pPr>
        <w:ind w:firstLine="632" w:firstLineChars="200"/>
        <w:outlineLvl w:val="0"/>
        <w:rPr>
          <w:rFonts w:hint="eastAsia" w:ascii="楷体_GB2312" w:eastAsia="楷体_GB2312"/>
        </w:rPr>
      </w:pPr>
      <w:bookmarkStart w:id="125" w:name="_Toc1776"/>
      <w:bookmarkStart w:id="126" w:name="_Toc17266"/>
      <w:bookmarkStart w:id="127" w:name="_Toc24004"/>
      <w:bookmarkStart w:id="128" w:name="_Toc30179"/>
      <w:bookmarkStart w:id="129" w:name="_Toc1718104576"/>
      <w:bookmarkStart w:id="130" w:name="_Toc26571"/>
      <w:bookmarkStart w:id="131" w:name="_Toc6156"/>
      <w:bookmarkStart w:id="132" w:name="_Toc75156547"/>
      <w:bookmarkStart w:id="133" w:name="_Toc16309"/>
      <w:bookmarkStart w:id="134" w:name="_Toc20224"/>
      <w:bookmarkStart w:id="135" w:name="_Toc20826"/>
      <w:bookmarkStart w:id="136" w:name="_Toc1938594714"/>
      <w:bookmarkStart w:id="137" w:name="_Toc21853"/>
      <w:bookmarkStart w:id="138" w:name="_Toc2026319576"/>
      <w:bookmarkStart w:id="139" w:name="_Toc2130633550"/>
      <w:bookmarkStart w:id="140" w:name="_Toc97265560"/>
      <w:bookmarkStart w:id="141" w:name="_Toc79574495"/>
      <w:bookmarkStart w:id="142" w:name="_Toc1680974195"/>
      <w:bookmarkStart w:id="143" w:name="_Toc1260020292"/>
      <w:bookmarkStart w:id="144" w:name="_Toc584404395"/>
      <w:bookmarkStart w:id="145" w:name="_Toc1908771225"/>
      <w:bookmarkStart w:id="146" w:name="_Toc1016"/>
      <w:bookmarkStart w:id="147" w:name="_Toc778268049"/>
      <w:bookmarkStart w:id="148" w:name="_Toc2106994587"/>
      <w:bookmarkStart w:id="149" w:name="_Toc2035457088"/>
      <w:bookmarkStart w:id="150" w:name="_Toc5487"/>
      <w:bookmarkStart w:id="151" w:name="_Toc95728745"/>
      <w:bookmarkStart w:id="152" w:name="_Toc894981669"/>
      <w:bookmarkStart w:id="153" w:name="_Toc1217693997"/>
      <w:bookmarkStart w:id="154" w:name="_Toc95741992"/>
      <w:bookmarkStart w:id="155" w:name="_Toc667827234"/>
      <w:bookmarkStart w:id="156" w:name="_Toc1351075805"/>
      <w:bookmarkStart w:id="157" w:name="_Toc83289931"/>
      <w:bookmarkStart w:id="158" w:name="_Toc15046"/>
      <w:r>
        <w:rPr>
          <w:rFonts w:hint="eastAsia" w:ascii="楷体_GB2312" w:eastAsia="楷体_GB2312"/>
        </w:rPr>
        <w:t>（一）指导思想</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Pr>
          <w:rFonts w:hint="eastAsia" w:ascii="楷体_GB2312" w:eastAsia="楷体_GB2312"/>
        </w:rPr>
        <w:t>。</w:t>
      </w:r>
    </w:p>
    <w:p>
      <w:pPr>
        <w:ind w:firstLine="632" w:firstLineChars="200"/>
        <w:rPr>
          <w:rFonts w:hint="eastAsia"/>
        </w:rPr>
      </w:pPr>
      <w:r>
        <w:rPr>
          <w:rFonts w:hint="eastAsia"/>
        </w:rPr>
        <w:t>坚持以习近平新时代中国特色社会主义思想为指导，全面贯彻党的十九大和十九届历次全会精神，认真落实国家和省社会信用体系建设决策部署，以社会信用体系法治化、规范化运行为根本，以信用信息基础设施一体化、智能化为支撑，坚持信用监管和信用服务双轮驱动，全面完善以信用为基础的新型监管机制，提升信用惠民便企水平，进一步发挥信用提高资源配置效率、降低制度性交易成本、防范化解风险的重要作用，营造更优社会信用环境，为推动苏州高质量发展走在全国前列提供支撑保障。</w:t>
      </w:r>
    </w:p>
    <w:p>
      <w:pPr>
        <w:ind w:firstLine="632" w:firstLineChars="200"/>
        <w:outlineLvl w:val="0"/>
        <w:rPr>
          <w:rFonts w:hint="eastAsia" w:ascii="楷体_GB2312" w:eastAsia="楷体_GB2312"/>
        </w:rPr>
      </w:pPr>
      <w:bookmarkStart w:id="159" w:name="_Toc628805603"/>
      <w:bookmarkStart w:id="160" w:name="_Toc1708478860"/>
      <w:bookmarkStart w:id="161" w:name="_Toc46090278"/>
      <w:bookmarkStart w:id="162" w:name="_Toc7031"/>
      <w:bookmarkStart w:id="163" w:name="_Toc4178"/>
      <w:bookmarkStart w:id="164" w:name="_Toc75156548"/>
      <w:bookmarkStart w:id="165" w:name="_Toc8161"/>
      <w:bookmarkStart w:id="166" w:name="_Toc20936"/>
      <w:bookmarkStart w:id="167" w:name="_Toc95741993"/>
      <w:bookmarkStart w:id="168" w:name="_Toc49444370"/>
      <w:bookmarkStart w:id="169" w:name="_Toc350977772"/>
      <w:bookmarkStart w:id="170" w:name="_Toc3418"/>
      <w:bookmarkStart w:id="171" w:name="_Toc24249"/>
      <w:bookmarkStart w:id="172" w:name="_Toc28919"/>
      <w:bookmarkStart w:id="173" w:name="_Toc614058059"/>
      <w:bookmarkStart w:id="174" w:name="_Toc18696"/>
      <w:bookmarkStart w:id="175" w:name="_Toc1734622736"/>
      <w:bookmarkStart w:id="176" w:name="_Toc675807482"/>
      <w:bookmarkStart w:id="177" w:name="_Toc721968301"/>
      <w:bookmarkStart w:id="178" w:name="_Toc584555192"/>
      <w:bookmarkStart w:id="179" w:name="_Toc45883580"/>
      <w:bookmarkStart w:id="180" w:name="_Toc95728746"/>
      <w:bookmarkStart w:id="181" w:name="_Toc2681"/>
      <w:bookmarkStart w:id="182" w:name="_Toc25056"/>
      <w:bookmarkStart w:id="183" w:name="_Toc79574496"/>
      <w:bookmarkStart w:id="184" w:name="_Toc1659702806"/>
      <w:bookmarkStart w:id="185" w:name="_Toc700462761"/>
      <w:bookmarkStart w:id="186" w:name="_Toc31955"/>
      <w:bookmarkStart w:id="187" w:name="_Toc19808"/>
      <w:bookmarkStart w:id="188" w:name="_Toc19444"/>
      <w:bookmarkStart w:id="189" w:name="_Toc31558"/>
      <w:bookmarkStart w:id="190" w:name="_Toc371615957"/>
      <w:bookmarkStart w:id="191" w:name="_Toc83289932"/>
      <w:bookmarkStart w:id="192" w:name="_Toc776133912"/>
      <w:bookmarkStart w:id="193" w:name="_Toc23988"/>
      <w:bookmarkStart w:id="194" w:name="_Toc1801788044"/>
      <w:r>
        <w:rPr>
          <w:rFonts w:hint="eastAsia" w:ascii="楷体_GB2312" w:eastAsia="楷体_GB2312"/>
        </w:rPr>
        <w:t>（二）基本原则</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rFonts w:hint="eastAsia" w:ascii="楷体_GB2312" w:eastAsia="楷体_GB2312"/>
        </w:rPr>
        <w:t>。</w:t>
      </w:r>
    </w:p>
    <w:p>
      <w:pPr>
        <w:ind w:firstLine="632" w:firstLineChars="200"/>
        <w:rPr>
          <w:rFonts w:hint="eastAsia"/>
        </w:rPr>
      </w:pPr>
      <w:r>
        <w:rPr>
          <w:rFonts w:hint="eastAsia"/>
        </w:rPr>
        <w:t>依法依规，规范发展。严格以法律、法规或党中央、国务院政策文件为依据，建立健全信用制度和标准体系，准确界定信用信息记录、归集、共享、公开范围和失信惩戒措施适用范围，确保社会信用体系建设各项工作在法治轨道上运行。</w:t>
      </w:r>
    </w:p>
    <w:p>
      <w:pPr>
        <w:ind w:firstLine="632" w:firstLineChars="200"/>
        <w:rPr>
          <w:rFonts w:hint="eastAsia"/>
        </w:rPr>
      </w:pPr>
      <w:r>
        <w:rPr>
          <w:rFonts w:hint="eastAsia"/>
        </w:rPr>
        <w:t>政府推动，社会共建。充分发挥政府部门总体规划、组织协调、示范引领作用，树立“共建、共享、共用、共治”理念。积极发挥市场机制作用，</w:t>
      </w:r>
      <w:r>
        <w:fldChar w:fldCharType="begin"/>
      </w:r>
      <w:r>
        <w:instrText xml:space="preserve"> HYPERLINK "https://baike.baidu.com/item/%E4%BC%98%E5%8C%96%E8%B5%84%E6%BA%90%E9%85%8D%E7%BD%AE/10753142" \t "_blank" </w:instrText>
      </w:r>
      <w:r>
        <w:fldChar w:fldCharType="separate"/>
      </w:r>
      <w:r>
        <w:rPr>
          <w:rFonts w:hint="eastAsia"/>
        </w:rPr>
        <w:t>优化资源配置</w:t>
      </w:r>
      <w:r>
        <w:rPr>
          <w:rFonts w:hint="eastAsia"/>
        </w:rPr>
        <w:fldChar w:fldCharType="end"/>
      </w:r>
      <w:r>
        <w:rPr>
          <w:rFonts w:hint="eastAsia"/>
        </w:rPr>
        <w:t>，鼓励企事业单位、行业组织、中介机构等社会力量广泛参与、共同推进，形成社会信用体系建设合力。</w:t>
      </w:r>
    </w:p>
    <w:p>
      <w:pPr>
        <w:ind w:firstLine="632" w:firstLineChars="200"/>
        <w:rPr>
          <w:rFonts w:hint="eastAsia"/>
        </w:rPr>
      </w:pPr>
      <w:r>
        <w:rPr>
          <w:rFonts w:hint="eastAsia"/>
        </w:rPr>
        <w:t>统筹规划，分步实施。围绕国家、省信用建设重大决策部署和苏州经济社会高质量发展需要，立足当前、着眼全局、适度超前，扎实做好统筹规划。选择重点领域和区域深入探索、创新突破，分地区、分部门、分阶段推进。</w:t>
      </w:r>
    </w:p>
    <w:p>
      <w:pPr>
        <w:ind w:firstLine="632" w:firstLineChars="200"/>
        <w:rPr>
          <w:rFonts w:hint="eastAsia"/>
        </w:rPr>
      </w:pPr>
      <w:r>
        <w:rPr>
          <w:rFonts w:hint="eastAsia"/>
        </w:rPr>
        <w:t>强化应用，开放合作。立足苏州实际，坚持以市场需求为导向，以精准化、高效化、智慧化为目标，积极拓展信用惠民便企场景，推进信用产品和服务社会化应用，促进信用经济发展。加强跨区域信用协同，推动区域信用合作再上新台阶。</w:t>
      </w:r>
    </w:p>
    <w:p>
      <w:pPr>
        <w:ind w:firstLine="632" w:firstLineChars="200"/>
        <w:outlineLvl w:val="0"/>
        <w:rPr>
          <w:rFonts w:hint="eastAsia" w:ascii="楷体_GB2312" w:eastAsia="楷体_GB2312"/>
        </w:rPr>
      </w:pPr>
      <w:bookmarkStart w:id="195" w:name="_Toc2265"/>
      <w:bookmarkStart w:id="196" w:name="_Toc11322"/>
      <w:bookmarkStart w:id="197" w:name="_Toc23072"/>
      <w:bookmarkStart w:id="198" w:name="_Toc17988"/>
      <w:r>
        <w:rPr>
          <w:rFonts w:hint="eastAsia" w:ascii="楷体_GB2312" w:eastAsia="楷体_GB2312"/>
        </w:rPr>
        <w:t>（三）发展目标</w:t>
      </w:r>
      <w:bookmarkEnd w:id="195"/>
      <w:bookmarkEnd w:id="196"/>
      <w:bookmarkEnd w:id="197"/>
      <w:bookmarkEnd w:id="198"/>
      <w:r>
        <w:rPr>
          <w:rFonts w:hint="eastAsia" w:ascii="楷体_GB2312" w:eastAsia="楷体_GB2312"/>
        </w:rPr>
        <w:t>。</w:t>
      </w:r>
    </w:p>
    <w:p>
      <w:pPr>
        <w:ind w:firstLine="632" w:firstLineChars="200"/>
        <w:rPr>
          <w:rFonts w:hint="eastAsia"/>
        </w:rPr>
      </w:pPr>
      <w:r>
        <w:rPr>
          <w:rFonts w:hint="eastAsia"/>
        </w:rPr>
        <w:t>到“十四五”末，苏州市社会信用制度体系更加健全，营商环境持续优化，信用经济更加成熟，社会诚信意识普遍增强，建成与经济社会高质量发展相适应的社会信用体系，保持全国第一方阵“领跑”优势，为2035年全面建成高水平社会信用体系奠定坚实基础。</w:t>
      </w:r>
    </w:p>
    <w:p>
      <w:pPr>
        <w:ind w:firstLine="632" w:firstLineChars="200"/>
        <w:rPr>
          <w:rFonts w:hint="eastAsia"/>
        </w:rPr>
      </w:pPr>
      <w:r>
        <w:rPr>
          <w:rFonts w:hint="eastAsia"/>
          <w:bCs/>
        </w:rPr>
        <w:t>——信用基础建设保障更有力。</w:t>
      </w:r>
      <w:r>
        <w:rPr>
          <w:rFonts w:hint="eastAsia"/>
        </w:rPr>
        <w:t>规范信用信息归集和应用，进一步完善“制度+清单+目录”管理体系，显著提升信用建设规范化、标准化水平。以公共信用信息系统一体化、智能化为支撑，稳步提高省市区三级协同效率，规范高效归集共享信用数据。全面提升信用产品和服务专业化、优质化水平，推动信用服务行业规范、健康、可持续发展。</w:t>
      </w:r>
    </w:p>
    <w:p>
      <w:pPr>
        <w:ind w:firstLine="632" w:firstLineChars="200"/>
        <w:rPr>
          <w:rFonts w:hint="eastAsia"/>
        </w:rPr>
      </w:pPr>
      <w:r>
        <w:rPr>
          <w:rFonts w:hint="eastAsia"/>
          <w:bCs/>
        </w:rPr>
        <w:t>——信用服务实体经济更高效。</w:t>
      </w:r>
      <w:r>
        <w:rPr>
          <w:rFonts w:hint="eastAsia"/>
        </w:rPr>
        <w:t>进一步加大信用支持中小微企业融资力度，有效激发微观主体活力；强化信用服务助企纾困，加大企业增信力度；丰富信用惠民便企应用场景，显著提升守信获得感；发挥信用优化资源配置作用，加速发展信用经济。</w:t>
      </w:r>
    </w:p>
    <w:p>
      <w:pPr>
        <w:ind w:firstLine="632" w:firstLineChars="200"/>
        <w:rPr>
          <w:rFonts w:hint="eastAsia"/>
        </w:rPr>
      </w:pPr>
      <w:r>
        <w:rPr>
          <w:rFonts w:hint="eastAsia"/>
          <w:bCs/>
        </w:rPr>
        <w:t>——信用助推社会治理更精细。</w:t>
      </w:r>
      <w:r>
        <w:rPr>
          <w:rFonts w:hint="eastAsia"/>
        </w:rPr>
        <w:t>建立信用大数据风险预警和行业信用监管体系，常态化开展信用评价和分级分类监管。健全守信激励与失信惩戒机制，充分发挥信用正向引导作用，持续提升社会成员自律意识和自治水平。</w:t>
      </w:r>
    </w:p>
    <w:p>
      <w:pPr>
        <w:ind w:firstLine="632" w:firstLineChars="200"/>
        <w:rPr>
          <w:rFonts w:hint="eastAsia"/>
        </w:rPr>
      </w:pPr>
      <w:r>
        <w:rPr>
          <w:rFonts w:hint="eastAsia"/>
          <w:bCs/>
        </w:rPr>
        <w:t>——信用市场化应用更丰富。</w:t>
      </w:r>
      <w:r>
        <w:rPr>
          <w:rFonts w:hint="eastAsia"/>
        </w:rPr>
        <w:t>持续推广信用信息产品和服务，基本形成市场化信用服务和公共信用服务互为补充、市场信用信息与公共信用信息互相交融、基础服务与增值服务相辅相成的多层次信用服务体系。</w:t>
      </w:r>
    </w:p>
    <w:p>
      <w:pPr>
        <w:ind w:firstLine="632" w:firstLineChars="200"/>
        <w:rPr>
          <w:rFonts w:hint="eastAsia"/>
        </w:rPr>
      </w:pPr>
      <w:r>
        <w:rPr>
          <w:rFonts w:hint="eastAsia"/>
          <w:bCs/>
        </w:rPr>
        <w:t>——全社会诚信氛围更浓厚。</w:t>
      </w:r>
      <w:r>
        <w:rPr>
          <w:rFonts w:hint="eastAsia"/>
        </w:rPr>
        <w:t>常态化开展诚信宣传和教育，全面弘扬吴文化诚信美德，广泛宣传诚信人物、诚信企业、诚信街道等，打造“诚信苏州”宣传品牌，进一步提升全社会知信、守信、用信的意识。</w:t>
      </w:r>
    </w:p>
    <w:p>
      <w:pPr>
        <w:spacing w:before="174" w:beforeLines="30"/>
        <w:jc w:val="center"/>
        <w:rPr>
          <w:rFonts w:hint="eastAsia" w:asciiTheme="majorEastAsia" w:hAnsiTheme="majorEastAsia" w:eastAsiaTheme="majorEastAsia"/>
          <w:sz w:val="28"/>
          <w:szCs w:val="28"/>
        </w:rPr>
      </w:pPr>
      <w:bookmarkStart w:id="199" w:name="_Toc32038"/>
      <w:r>
        <w:rPr>
          <w:rFonts w:hint="eastAsia" w:asciiTheme="majorEastAsia" w:hAnsiTheme="majorEastAsia" w:eastAsiaTheme="majorEastAsia"/>
          <w:sz w:val="28"/>
          <w:szCs w:val="28"/>
        </w:rPr>
        <w:t>表1：苏州市“十四五”社会信用体系建设主要指标</w:t>
      </w:r>
      <w:bookmarkEnd w:id="199"/>
    </w:p>
    <w:tbl>
      <w:tblPr>
        <w:tblStyle w:val="15"/>
        <w:tblW w:w="884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902"/>
        <w:gridCol w:w="5239"/>
        <w:gridCol w:w="1415"/>
        <w:gridCol w:w="1289"/>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79" w:type="dxa"/>
            <w:shd w:val="clear" w:color="auto" w:fill="auto"/>
            <w:vAlign w:val="center"/>
          </w:tcPr>
          <w:p>
            <w:pPr>
              <w:jc w:val="center"/>
              <w:rPr>
                <w:rFonts w:hint="eastAsia" w:ascii="黑体" w:hAnsi="黑体" w:eastAsia="黑体"/>
                <w:bCs/>
                <w:sz w:val="24"/>
                <w:szCs w:val="24"/>
              </w:rPr>
            </w:pPr>
            <w:r>
              <w:rPr>
                <w:rFonts w:hint="eastAsia" w:ascii="黑体" w:hAnsi="黑体" w:eastAsia="黑体"/>
                <w:bCs/>
                <w:sz w:val="24"/>
                <w:szCs w:val="24"/>
              </w:rPr>
              <w:t>序号</w:t>
            </w:r>
          </w:p>
        </w:tc>
        <w:tc>
          <w:tcPr>
            <w:tcW w:w="5103" w:type="dxa"/>
            <w:shd w:val="clear" w:color="auto" w:fill="auto"/>
            <w:vAlign w:val="center"/>
          </w:tcPr>
          <w:p>
            <w:pPr>
              <w:jc w:val="center"/>
              <w:rPr>
                <w:rFonts w:hint="eastAsia" w:ascii="黑体" w:hAnsi="黑体" w:eastAsia="黑体"/>
                <w:bCs/>
                <w:sz w:val="24"/>
                <w:szCs w:val="24"/>
              </w:rPr>
            </w:pPr>
            <w:r>
              <w:rPr>
                <w:rFonts w:hint="eastAsia" w:ascii="黑体" w:hAnsi="黑体" w:eastAsia="黑体"/>
                <w:bCs/>
                <w:sz w:val="24"/>
                <w:szCs w:val="24"/>
              </w:rPr>
              <w:t>主要指标（单位）</w:t>
            </w:r>
          </w:p>
        </w:tc>
        <w:tc>
          <w:tcPr>
            <w:tcW w:w="1378" w:type="dxa"/>
            <w:shd w:val="clear" w:color="auto" w:fill="auto"/>
            <w:vAlign w:val="center"/>
          </w:tcPr>
          <w:p>
            <w:pPr>
              <w:jc w:val="center"/>
              <w:rPr>
                <w:rFonts w:hint="eastAsia" w:ascii="黑体" w:hAnsi="黑体" w:eastAsia="黑体"/>
                <w:bCs/>
                <w:sz w:val="24"/>
                <w:szCs w:val="24"/>
              </w:rPr>
            </w:pPr>
            <w:r>
              <w:rPr>
                <w:rFonts w:hint="eastAsia" w:ascii="黑体" w:hAnsi="黑体" w:eastAsia="黑体"/>
                <w:bCs/>
                <w:sz w:val="24"/>
                <w:szCs w:val="24"/>
              </w:rPr>
              <w:t>2025年</w:t>
            </w:r>
          </w:p>
        </w:tc>
        <w:tc>
          <w:tcPr>
            <w:tcW w:w="1256" w:type="dxa"/>
            <w:shd w:val="clear" w:color="auto" w:fill="auto"/>
            <w:vAlign w:val="center"/>
          </w:tcPr>
          <w:p>
            <w:pPr>
              <w:jc w:val="center"/>
              <w:rPr>
                <w:rFonts w:hint="eastAsia" w:ascii="黑体" w:hAnsi="黑体" w:eastAsia="黑体"/>
                <w:bCs/>
                <w:sz w:val="24"/>
                <w:szCs w:val="24"/>
              </w:rPr>
            </w:pPr>
            <w:r>
              <w:rPr>
                <w:rFonts w:hint="eastAsia" w:ascii="黑体" w:hAnsi="黑体" w:eastAsia="黑体"/>
                <w:bCs/>
                <w:sz w:val="24"/>
                <w:szCs w:val="24"/>
              </w:rPr>
              <w:t>目标属性</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79" w:type="dxa"/>
            <w:shd w:val="clear" w:color="auto" w:fill="auto"/>
            <w:vAlign w:val="center"/>
          </w:tcPr>
          <w:p>
            <w:pPr>
              <w:jc w:val="center"/>
              <w:rPr>
                <w:rFonts w:hint="eastAsia"/>
                <w:sz w:val="24"/>
                <w:szCs w:val="24"/>
              </w:rPr>
            </w:pPr>
            <w:r>
              <w:rPr>
                <w:rFonts w:hint="eastAsia"/>
                <w:sz w:val="24"/>
                <w:szCs w:val="24"/>
              </w:rPr>
              <w:t>1</w:t>
            </w:r>
          </w:p>
        </w:tc>
        <w:tc>
          <w:tcPr>
            <w:tcW w:w="5103" w:type="dxa"/>
            <w:shd w:val="clear" w:color="auto" w:fill="auto"/>
            <w:vAlign w:val="center"/>
          </w:tcPr>
          <w:p>
            <w:pPr>
              <w:jc w:val="center"/>
              <w:rPr>
                <w:rFonts w:hint="eastAsia"/>
                <w:sz w:val="24"/>
                <w:szCs w:val="24"/>
              </w:rPr>
            </w:pPr>
            <w:r>
              <w:rPr>
                <w:rFonts w:hint="eastAsia"/>
                <w:sz w:val="24"/>
                <w:szCs w:val="24"/>
              </w:rPr>
              <w:t>新增国家社会信用体系建设示范区</w:t>
            </w:r>
          </w:p>
        </w:tc>
        <w:tc>
          <w:tcPr>
            <w:tcW w:w="1378" w:type="dxa"/>
            <w:shd w:val="clear" w:color="auto" w:fill="auto"/>
            <w:vAlign w:val="center"/>
          </w:tcPr>
          <w:p>
            <w:pPr>
              <w:jc w:val="center"/>
              <w:rPr>
                <w:rFonts w:hint="eastAsia"/>
                <w:sz w:val="24"/>
                <w:szCs w:val="24"/>
              </w:rPr>
            </w:pPr>
            <w:r>
              <w:rPr>
                <w:rFonts w:hint="eastAsia"/>
                <w:sz w:val="24"/>
                <w:szCs w:val="24"/>
              </w:rPr>
              <w:t>≥1</w:t>
            </w:r>
          </w:p>
        </w:tc>
        <w:tc>
          <w:tcPr>
            <w:tcW w:w="1256" w:type="dxa"/>
            <w:shd w:val="clear" w:color="auto" w:fill="auto"/>
            <w:vAlign w:val="center"/>
          </w:tcPr>
          <w:p>
            <w:pPr>
              <w:widowControl/>
              <w:jc w:val="center"/>
              <w:rPr>
                <w:rFonts w:hint="eastAsia"/>
                <w:sz w:val="24"/>
                <w:szCs w:val="24"/>
              </w:rPr>
            </w:pPr>
            <w:r>
              <w:rPr>
                <w:rFonts w:hint="eastAsia"/>
                <w:sz w:val="24"/>
                <w:szCs w:val="24"/>
              </w:rPr>
              <w:t>约束性</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79" w:type="dxa"/>
            <w:shd w:val="clear" w:color="auto" w:fill="auto"/>
            <w:vAlign w:val="center"/>
          </w:tcPr>
          <w:p>
            <w:pPr>
              <w:jc w:val="center"/>
              <w:rPr>
                <w:rFonts w:hint="eastAsia"/>
                <w:sz w:val="24"/>
                <w:szCs w:val="24"/>
              </w:rPr>
            </w:pPr>
            <w:r>
              <w:rPr>
                <w:rFonts w:hint="eastAsia"/>
                <w:sz w:val="24"/>
                <w:szCs w:val="24"/>
              </w:rPr>
              <w:t>2</w:t>
            </w:r>
          </w:p>
        </w:tc>
        <w:tc>
          <w:tcPr>
            <w:tcW w:w="5103" w:type="dxa"/>
            <w:shd w:val="clear" w:color="auto" w:fill="auto"/>
            <w:vAlign w:val="center"/>
          </w:tcPr>
          <w:p>
            <w:pPr>
              <w:jc w:val="center"/>
              <w:rPr>
                <w:rFonts w:hint="eastAsia"/>
                <w:sz w:val="24"/>
                <w:szCs w:val="24"/>
              </w:rPr>
            </w:pPr>
            <w:r>
              <w:rPr>
                <w:rFonts w:hint="eastAsia"/>
                <w:sz w:val="24"/>
                <w:szCs w:val="24"/>
              </w:rPr>
              <w:t>省级创新信用管理与服务县级地区试点</w:t>
            </w:r>
          </w:p>
        </w:tc>
        <w:tc>
          <w:tcPr>
            <w:tcW w:w="1378" w:type="dxa"/>
            <w:shd w:val="clear" w:color="auto" w:fill="auto"/>
            <w:vAlign w:val="center"/>
          </w:tcPr>
          <w:p>
            <w:pPr>
              <w:jc w:val="center"/>
              <w:rPr>
                <w:rFonts w:hint="eastAsia"/>
                <w:sz w:val="24"/>
                <w:szCs w:val="24"/>
              </w:rPr>
            </w:pPr>
            <w:r>
              <w:rPr>
                <w:rFonts w:hint="eastAsia"/>
                <w:sz w:val="24"/>
                <w:szCs w:val="24"/>
              </w:rPr>
              <w:t>≥3</w:t>
            </w:r>
          </w:p>
        </w:tc>
        <w:tc>
          <w:tcPr>
            <w:tcW w:w="1256" w:type="dxa"/>
            <w:shd w:val="clear" w:color="auto" w:fill="auto"/>
            <w:vAlign w:val="center"/>
          </w:tcPr>
          <w:p>
            <w:pPr>
              <w:widowControl/>
              <w:jc w:val="center"/>
              <w:rPr>
                <w:rFonts w:hint="eastAsia"/>
                <w:sz w:val="24"/>
                <w:szCs w:val="24"/>
              </w:rPr>
            </w:pPr>
            <w:r>
              <w:rPr>
                <w:rFonts w:hint="eastAsia"/>
                <w:sz w:val="24"/>
                <w:szCs w:val="24"/>
              </w:rPr>
              <w:t>约束性</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79" w:type="dxa"/>
            <w:shd w:val="clear" w:color="auto" w:fill="auto"/>
            <w:vAlign w:val="center"/>
          </w:tcPr>
          <w:p>
            <w:pPr>
              <w:jc w:val="center"/>
              <w:rPr>
                <w:rFonts w:hint="eastAsia"/>
                <w:sz w:val="24"/>
                <w:szCs w:val="24"/>
              </w:rPr>
            </w:pPr>
            <w:r>
              <w:rPr>
                <w:rFonts w:hint="eastAsia"/>
                <w:sz w:val="24"/>
                <w:szCs w:val="24"/>
              </w:rPr>
              <w:t>3</w:t>
            </w:r>
          </w:p>
        </w:tc>
        <w:tc>
          <w:tcPr>
            <w:tcW w:w="5103" w:type="dxa"/>
            <w:shd w:val="clear" w:color="auto" w:fill="auto"/>
            <w:vAlign w:val="center"/>
          </w:tcPr>
          <w:p>
            <w:pPr>
              <w:jc w:val="center"/>
              <w:rPr>
                <w:rFonts w:hint="eastAsia"/>
                <w:sz w:val="24"/>
                <w:szCs w:val="24"/>
              </w:rPr>
            </w:pPr>
            <w:r>
              <w:rPr>
                <w:rFonts w:hint="eastAsia"/>
                <w:sz w:val="24"/>
                <w:szCs w:val="24"/>
              </w:rPr>
              <w:t>省市区一体化平台建设</w:t>
            </w:r>
          </w:p>
        </w:tc>
        <w:tc>
          <w:tcPr>
            <w:tcW w:w="1378" w:type="dxa"/>
            <w:shd w:val="clear" w:color="auto" w:fill="auto"/>
            <w:vAlign w:val="center"/>
          </w:tcPr>
          <w:p>
            <w:pPr>
              <w:jc w:val="center"/>
              <w:rPr>
                <w:rFonts w:hint="eastAsia"/>
                <w:sz w:val="24"/>
                <w:szCs w:val="24"/>
              </w:rPr>
            </w:pPr>
            <w:r>
              <w:rPr>
                <w:rFonts w:hint="eastAsia"/>
                <w:sz w:val="24"/>
                <w:szCs w:val="24"/>
              </w:rPr>
              <w:t>完成</w:t>
            </w:r>
          </w:p>
        </w:tc>
        <w:tc>
          <w:tcPr>
            <w:tcW w:w="1256" w:type="dxa"/>
            <w:shd w:val="clear" w:color="auto" w:fill="auto"/>
            <w:vAlign w:val="center"/>
          </w:tcPr>
          <w:p>
            <w:pPr>
              <w:widowControl/>
              <w:jc w:val="center"/>
              <w:rPr>
                <w:rFonts w:hint="eastAsia"/>
                <w:sz w:val="24"/>
                <w:szCs w:val="24"/>
              </w:rPr>
            </w:pPr>
            <w:r>
              <w:rPr>
                <w:rFonts w:hint="eastAsia"/>
                <w:sz w:val="24"/>
                <w:szCs w:val="24"/>
              </w:rPr>
              <w:t>约束性</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79" w:type="dxa"/>
            <w:shd w:val="clear" w:color="auto" w:fill="auto"/>
            <w:vAlign w:val="center"/>
          </w:tcPr>
          <w:p>
            <w:pPr>
              <w:jc w:val="center"/>
              <w:rPr>
                <w:rFonts w:hint="eastAsia"/>
                <w:sz w:val="24"/>
                <w:szCs w:val="24"/>
              </w:rPr>
            </w:pPr>
            <w:r>
              <w:rPr>
                <w:rFonts w:hint="eastAsia"/>
                <w:sz w:val="24"/>
                <w:szCs w:val="24"/>
              </w:rPr>
              <w:t>4</w:t>
            </w:r>
          </w:p>
        </w:tc>
        <w:tc>
          <w:tcPr>
            <w:tcW w:w="5103" w:type="dxa"/>
            <w:shd w:val="clear" w:color="auto" w:fill="auto"/>
            <w:vAlign w:val="center"/>
          </w:tcPr>
          <w:p>
            <w:pPr>
              <w:jc w:val="center"/>
              <w:rPr>
                <w:rFonts w:hint="eastAsia"/>
                <w:sz w:val="24"/>
                <w:szCs w:val="24"/>
              </w:rPr>
            </w:pPr>
            <w:r>
              <w:rPr>
                <w:rFonts w:hint="eastAsia"/>
                <w:sz w:val="24"/>
                <w:szCs w:val="24"/>
              </w:rPr>
              <w:t>信用分级分类监管行业（领域）数量（个）</w:t>
            </w:r>
          </w:p>
        </w:tc>
        <w:tc>
          <w:tcPr>
            <w:tcW w:w="1378" w:type="dxa"/>
            <w:shd w:val="clear" w:color="auto" w:fill="auto"/>
            <w:vAlign w:val="center"/>
          </w:tcPr>
          <w:p>
            <w:pPr>
              <w:jc w:val="center"/>
              <w:rPr>
                <w:rFonts w:hint="eastAsia"/>
                <w:sz w:val="24"/>
                <w:szCs w:val="24"/>
              </w:rPr>
            </w:pPr>
            <w:r>
              <w:rPr>
                <w:rFonts w:hint="eastAsia"/>
                <w:sz w:val="24"/>
                <w:szCs w:val="24"/>
              </w:rPr>
              <w:t>≥20</w:t>
            </w:r>
          </w:p>
        </w:tc>
        <w:tc>
          <w:tcPr>
            <w:tcW w:w="1256" w:type="dxa"/>
            <w:shd w:val="clear" w:color="auto" w:fill="auto"/>
            <w:vAlign w:val="center"/>
          </w:tcPr>
          <w:p>
            <w:pPr>
              <w:widowControl/>
              <w:jc w:val="center"/>
              <w:rPr>
                <w:rFonts w:hint="eastAsia"/>
                <w:sz w:val="24"/>
                <w:szCs w:val="24"/>
              </w:rPr>
            </w:pPr>
            <w:r>
              <w:rPr>
                <w:rFonts w:hint="eastAsia"/>
                <w:sz w:val="24"/>
                <w:szCs w:val="24"/>
              </w:rPr>
              <w:t>约束性</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79" w:type="dxa"/>
            <w:shd w:val="clear" w:color="auto" w:fill="auto"/>
            <w:vAlign w:val="center"/>
          </w:tcPr>
          <w:p>
            <w:pPr>
              <w:jc w:val="center"/>
              <w:rPr>
                <w:rFonts w:hint="eastAsia"/>
                <w:sz w:val="24"/>
                <w:szCs w:val="24"/>
              </w:rPr>
            </w:pPr>
            <w:r>
              <w:rPr>
                <w:rFonts w:hint="eastAsia"/>
                <w:sz w:val="24"/>
                <w:szCs w:val="24"/>
              </w:rPr>
              <w:t>5</w:t>
            </w:r>
          </w:p>
        </w:tc>
        <w:tc>
          <w:tcPr>
            <w:tcW w:w="5103" w:type="dxa"/>
            <w:shd w:val="clear" w:color="auto" w:fill="auto"/>
            <w:vAlign w:val="center"/>
          </w:tcPr>
          <w:p>
            <w:pPr>
              <w:jc w:val="center"/>
              <w:rPr>
                <w:rFonts w:hint="eastAsia"/>
                <w:sz w:val="24"/>
                <w:szCs w:val="24"/>
              </w:rPr>
            </w:pPr>
            <w:r>
              <w:rPr>
                <w:rFonts w:hint="eastAsia"/>
                <w:sz w:val="24"/>
                <w:szCs w:val="24"/>
              </w:rPr>
              <w:t>政府及部门被列入失信被执行人案件</w:t>
            </w:r>
          </w:p>
        </w:tc>
        <w:tc>
          <w:tcPr>
            <w:tcW w:w="1378" w:type="dxa"/>
            <w:shd w:val="clear" w:color="auto" w:fill="auto"/>
            <w:vAlign w:val="center"/>
          </w:tcPr>
          <w:p>
            <w:pPr>
              <w:jc w:val="center"/>
              <w:rPr>
                <w:rFonts w:hint="eastAsia"/>
                <w:sz w:val="24"/>
                <w:szCs w:val="24"/>
              </w:rPr>
            </w:pPr>
            <w:r>
              <w:rPr>
                <w:rFonts w:hint="eastAsia"/>
                <w:sz w:val="24"/>
                <w:szCs w:val="24"/>
              </w:rPr>
              <w:t>动态清零</w:t>
            </w:r>
          </w:p>
        </w:tc>
        <w:tc>
          <w:tcPr>
            <w:tcW w:w="1256" w:type="dxa"/>
            <w:shd w:val="clear" w:color="auto" w:fill="auto"/>
            <w:vAlign w:val="center"/>
          </w:tcPr>
          <w:p>
            <w:pPr>
              <w:widowControl/>
              <w:jc w:val="center"/>
              <w:rPr>
                <w:rFonts w:hint="eastAsia"/>
                <w:sz w:val="24"/>
                <w:szCs w:val="24"/>
              </w:rPr>
            </w:pPr>
            <w:r>
              <w:rPr>
                <w:rFonts w:hint="eastAsia"/>
                <w:sz w:val="24"/>
                <w:szCs w:val="24"/>
              </w:rPr>
              <w:t>约束性</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79" w:type="dxa"/>
            <w:shd w:val="clear" w:color="auto" w:fill="auto"/>
            <w:vAlign w:val="center"/>
          </w:tcPr>
          <w:p>
            <w:pPr>
              <w:jc w:val="center"/>
              <w:rPr>
                <w:rFonts w:hint="eastAsia"/>
                <w:sz w:val="24"/>
                <w:szCs w:val="24"/>
              </w:rPr>
            </w:pPr>
            <w:r>
              <w:rPr>
                <w:rFonts w:hint="eastAsia"/>
                <w:sz w:val="24"/>
                <w:szCs w:val="24"/>
              </w:rPr>
              <w:t>6</w:t>
            </w:r>
          </w:p>
        </w:tc>
        <w:tc>
          <w:tcPr>
            <w:tcW w:w="5103" w:type="dxa"/>
            <w:shd w:val="clear" w:color="auto" w:fill="auto"/>
            <w:vAlign w:val="center"/>
          </w:tcPr>
          <w:p>
            <w:pPr>
              <w:jc w:val="center"/>
              <w:rPr>
                <w:rFonts w:hint="eastAsia"/>
                <w:sz w:val="24"/>
                <w:szCs w:val="24"/>
              </w:rPr>
            </w:pPr>
            <w:r>
              <w:rPr>
                <w:rFonts w:hint="eastAsia"/>
                <w:sz w:val="24"/>
                <w:szCs w:val="24"/>
              </w:rPr>
              <w:t>“双公示”信息上报率、合规率和及时率（%）</w:t>
            </w:r>
          </w:p>
        </w:tc>
        <w:tc>
          <w:tcPr>
            <w:tcW w:w="1378" w:type="dxa"/>
            <w:shd w:val="clear" w:color="auto" w:fill="auto"/>
            <w:vAlign w:val="center"/>
          </w:tcPr>
          <w:p>
            <w:pPr>
              <w:jc w:val="center"/>
              <w:rPr>
                <w:rFonts w:hint="eastAsia"/>
                <w:sz w:val="24"/>
                <w:szCs w:val="24"/>
              </w:rPr>
            </w:pPr>
            <w:r>
              <w:rPr>
                <w:rFonts w:hint="eastAsia"/>
                <w:sz w:val="24"/>
                <w:szCs w:val="24"/>
              </w:rPr>
              <w:t>100</w:t>
            </w:r>
          </w:p>
        </w:tc>
        <w:tc>
          <w:tcPr>
            <w:tcW w:w="1256" w:type="dxa"/>
            <w:shd w:val="clear" w:color="auto" w:fill="auto"/>
            <w:vAlign w:val="center"/>
          </w:tcPr>
          <w:p>
            <w:pPr>
              <w:widowControl/>
              <w:jc w:val="center"/>
              <w:rPr>
                <w:rFonts w:hint="eastAsia"/>
                <w:sz w:val="24"/>
                <w:szCs w:val="24"/>
              </w:rPr>
            </w:pPr>
            <w:r>
              <w:rPr>
                <w:rFonts w:hint="eastAsia"/>
                <w:sz w:val="24"/>
                <w:szCs w:val="24"/>
              </w:rPr>
              <w:t>约束性</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79" w:type="dxa"/>
            <w:shd w:val="clear" w:color="auto" w:fill="auto"/>
            <w:vAlign w:val="center"/>
          </w:tcPr>
          <w:p>
            <w:pPr>
              <w:jc w:val="center"/>
              <w:rPr>
                <w:rFonts w:hint="eastAsia"/>
                <w:sz w:val="24"/>
                <w:szCs w:val="24"/>
              </w:rPr>
            </w:pPr>
            <w:r>
              <w:rPr>
                <w:rFonts w:hint="eastAsia"/>
                <w:sz w:val="24"/>
                <w:szCs w:val="24"/>
              </w:rPr>
              <w:t>7</w:t>
            </w:r>
          </w:p>
        </w:tc>
        <w:tc>
          <w:tcPr>
            <w:tcW w:w="5103" w:type="dxa"/>
            <w:shd w:val="clear" w:color="auto" w:fill="auto"/>
            <w:vAlign w:val="center"/>
          </w:tcPr>
          <w:p>
            <w:pPr>
              <w:jc w:val="center"/>
              <w:rPr>
                <w:rFonts w:hint="eastAsia"/>
                <w:sz w:val="24"/>
                <w:szCs w:val="24"/>
              </w:rPr>
            </w:pPr>
            <w:r>
              <w:rPr>
                <w:rFonts w:hint="eastAsia"/>
                <w:sz w:val="24"/>
                <w:szCs w:val="24"/>
              </w:rPr>
              <w:t>小微企业信用贷款余额（亿元）</w:t>
            </w:r>
          </w:p>
        </w:tc>
        <w:tc>
          <w:tcPr>
            <w:tcW w:w="1378" w:type="dxa"/>
            <w:shd w:val="clear" w:color="auto" w:fill="auto"/>
            <w:vAlign w:val="center"/>
          </w:tcPr>
          <w:p>
            <w:pPr>
              <w:jc w:val="center"/>
              <w:rPr>
                <w:rFonts w:hint="eastAsia"/>
                <w:sz w:val="24"/>
                <w:szCs w:val="24"/>
              </w:rPr>
            </w:pPr>
            <w:r>
              <w:rPr>
                <w:rFonts w:hint="eastAsia"/>
                <w:sz w:val="24"/>
                <w:szCs w:val="24"/>
              </w:rPr>
              <w:t>2000</w:t>
            </w:r>
          </w:p>
        </w:tc>
        <w:tc>
          <w:tcPr>
            <w:tcW w:w="1256" w:type="dxa"/>
            <w:shd w:val="clear" w:color="auto" w:fill="auto"/>
            <w:vAlign w:val="center"/>
          </w:tcPr>
          <w:p>
            <w:pPr>
              <w:widowControl/>
              <w:jc w:val="center"/>
              <w:rPr>
                <w:rFonts w:hint="eastAsia"/>
                <w:sz w:val="24"/>
                <w:szCs w:val="24"/>
              </w:rPr>
            </w:pPr>
            <w:r>
              <w:rPr>
                <w:rFonts w:hint="eastAsia"/>
                <w:sz w:val="24"/>
                <w:szCs w:val="24"/>
              </w:rPr>
              <w:t>预期性</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79" w:type="dxa"/>
            <w:shd w:val="clear" w:color="auto" w:fill="auto"/>
            <w:vAlign w:val="center"/>
          </w:tcPr>
          <w:p>
            <w:pPr>
              <w:jc w:val="center"/>
              <w:rPr>
                <w:rFonts w:hint="eastAsia"/>
                <w:sz w:val="24"/>
                <w:szCs w:val="24"/>
              </w:rPr>
            </w:pPr>
            <w:r>
              <w:rPr>
                <w:rFonts w:hint="eastAsia"/>
                <w:sz w:val="24"/>
                <w:szCs w:val="24"/>
              </w:rPr>
              <w:t>8</w:t>
            </w:r>
          </w:p>
        </w:tc>
        <w:tc>
          <w:tcPr>
            <w:tcW w:w="5103" w:type="dxa"/>
            <w:shd w:val="clear" w:color="auto" w:fill="auto"/>
            <w:vAlign w:val="center"/>
          </w:tcPr>
          <w:p>
            <w:pPr>
              <w:jc w:val="center"/>
              <w:rPr>
                <w:rFonts w:hint="eastAsia"/>
                <w:sz w:val="24"/>
                <w:szCs w:val="24"/>
              </w:rPr>
            </w:pPr>
            <w:r>
              <w:rPr>
                <w:rFonts w:hint="eastAsia"/>
                <w:sz w:val="24"/>
                <w:szCs w:val="24"/>
              </w:rPr>
              <w:t>省级信用管理示范企业（家）</w:t>
            </w:r>
          </w:p>
        </w:tc>
        <w:tc>
          <w:tcPr>
            <w:tcW w:w="1378" w:type="dxa"/>
            <w:shd w:val="clear" w:color="auto" w:fill="auto"/>
            <w:vAlign w:val="center"/>
          </w:tcPr>
          <w:p>
            <w:pPr>
              <w:jc w:val="center"/>
              <w:rPr>
                <w:rFonts w:hint="eastAsia"/>
                <w:sz w:val="24"/>
                <w:szCs w:val="24"/>
              </w:rPr>
            </w:pPr>
            <w:r>
              <w:rPr>
                <w:rFonts w:hint="eastAsia"/>
                <w:sz w:val="24"/>
                <w:szCs w:val="24"/>
              </w:rPr>
              <w:t>60</w:t>
            </w:r>
          </w:p>
        </w:tc>
        <w:tc>
          <w:tcPr>
            <w:tcW w:w="1256" w:type="dxa"/>
            <w:shd w:val="clear" w:color="auto" w:fill="auto"/>
            <w:vAlign w:val="center"/>
          </w:tcPr>
          <w:p>
            <w:pPr>
              <w:widowControl/>
              <w:jc w:val="center"/>
              <w:rPr>
                <w:rFonts w:hint="eastAsia"/>
                <w:sz w:val="24"/>
                <w:szCs w:val="24"/>
              </w:rPr>
            </w:pPr>
            <w:r>
              <w:rPr>
                <w:rFonts w:hint="eastAsia"/>
                <w:sz w:val="24"/>
                <w:szCs w:val="24"/>
              </w:rPr>
              <w:t>预期性</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79" w:type="dxa"/>
            <w:shd w:val="clear" w:color="auto" w:fill="auto"/>
            <w:vAlign w:val="center"/>
          </w:tcPr>
          <w:p>
            <w:pPr>
              <w:jc w:val="center"/>
              <w:rPr>
                <w:rFonts w:hint="eastAsia"/>
                <w:sz w:val="24"/>
                <w:szCs w:val="24"/>
              </w:rPr>
            </w:pPr>
            <w:r>
              <w:rPr>
                <w:rFonts w:hint="eastAsia"/>
                <w:sz w:val="24"/>
                <w:szCs w:val="24"/>
              </w:rPr>
              <w:t>9</w:t>
            </w:r>
          </w:p>
        </w:tc>
        <w:tc>
          <w:tcPr>
            <w:tcW w:w="5103" w:type="dxa"/>
            <w:shd w:val="clear" w:color="auto" w:fill="auto"/>
            <w:vAlign w:val="center"/>
          </w:tcPr>
          <w:p>
            <w:pPr>
              <w:jc w:val="center"/>
              <w:rPr>
                <w:rFonts w:hint="eastAsia"/>
                <w:sz w:val="24"/>
                <w:szCs w:val="24"/>
              </w:rPr>
            </w:pPr>
            <w:r>
              <w:rPr>
                <w:rFonts w:hint="eastAsia"/>
                <w:sz w:val="24"/>
                <w:szCs w:val="24"/>
              </w:rPr>
              <w:t>市级信用管理示范企业数量（家）</w:t>
            </w:r>
          </w:p>
        </w:tc>
        <w:tc>
          <w:tcPr>
            <w:tcW w:w="1378" w:type="dxa"/>
            <w:shd w:val="clear" w:color="auto" w:fill="auto"/>
            <w:vAlign w:val="center"/>
          </w:tcPr>
          <w:p>
            <w:pPr>
              <w:jc w:val="center"/>
              <w:rPr>
                <w:rFonts w:hint="eastAsia"/>
                <w:sz w:val="24"/>
                <w:szCs w:val="24"/>
              </w:rPr>
            </w:pPr>
            <w:r>
              <w:rPr>
                <w:rFonts w:hint="eastAsia"/>
                <w:sz w:val="24"/>
                <w:szCs w:val="24"/>
              </w:rPr>
              <w:t>650</w:t>
            </w:r>
          </w:p>
        </w:tc>
        <w:tc>
          <w:tcPr>
            <w:tcW w:w="1256" w:type="dxa"/>
            <w:shd w:val="clear" w:color="auto" w:fill="auto"/>
            <w:vAlign w:val="center"/>
          </w:tcPr>
          <w:p>
            <w:pPr>
              <w:widowControl/>
              <w:jc w:val="center"/>
              <w:rPr>
                <w:rFonts w:hint="eastAsia"/>
                <w:sz w:val="24"/>
                <w:szCs w:val="24"/>
              </w:rPr>
            </w:pPr>
            <w:r>
              <w:rPr>
                <w:rFonts w:hint="eastAsia"/>
                <w:sz w:val="24"/>
                <w:szCs w:val="24"/>
              </w:rPr>
              <w:t>预期性</w:t>
            </w:r>
          </w:p>
        </w:tc>
      </w:tr>
    </w:tbl>
    <w:p>
      <w:pPr>
        <w:pStyle w:val="2"/>
        <w:keepNext w:val="0"/>
        <w:keepLines w:val="0"/>
        <w:spacing w:before="232" w:beforeLines="40" w:after="0" w:line="240" w:lineRule="auto"/>
        <w:ind w:firstLine="632" w:firstLineChars="200"/>
        <w:rPr>
          <w:rFonts w:hint="eastAsia" w:ascii="黑体" w:hAnsi="黑体" w:eastAsia="黑体" w:cs="Times New Roman"/>
          <w:b w:val="0"/>
          <w:kern w:val="0"/>
          <w:sz w:val="32"/>
          <w:szCs w:val="32"/>
        </w:rPr>
      </w:pPr>
      <w:bookmarkStart w:id="200" w:name="_Toc20771"/>
      <w:bookmarkStart w:id="201" w:name="_Toc8077"/>
      <w:bookmarkStart w:id="202" w:name="_Toc1907173969"/>
      <w:bookmarkStart w:id="203" w:name="_Toc95741995"/>
      <w:bookmarkStart w:id="204" w:name="_Toc14064"/>
      <w:bookmarkStart w:id="205" w:name="_Toc79574498"/>
      <w:bookmarkStart w:id="206" w:name="_Toc83289934"/>
      <w:bookmarkStart w:id="207" w:name="_Toc604026696"/>
      <w:bookmarkStart w:id="208" w:name="_Toc1735866790"/>
      <w:bookmarkStart w:id="209" w:name="_Toc21862"/>
      <w:bookmarkStart w:id="210" w:name="_Toc1864008596"/>
      <w:bookmarkStart w:id="211" w:name="_Toc1346306227"/>
      <w:bookmarkStart w:id="212" w:name="_Toc9021034"/>
      <w:bookmarkStart w:id="213" w:name="_Toc522171945"/>
      <w:bookmarkStart w:id="214" w:name="_Toc1663165198"/>
      <w:bookmarkStart w:id="215" w:name="_Toc766975791"/>
      <w:bookmarkStart w:id="216" w:name="_Toc95728748"/>
      <w:bookmarkStart w:id="217" w:name="_Toc314"/>
      <w:bookmarkStart w:id="218" w:name="_Toc30198"/>
      <w:bookmarkStart w:id="219" w:name="_Toc584574291"/>
      <w:bookmarkStart w:id="220" w:name="_Toc745110984"/>
      <w:bookmarkStart w:id="221" w:name="_Toc29435"/>
      <w:bookmarkStart w:id="222" w:name="_Toc2096676120"/>
      <w:bookmarkStart w:id="223" w:name="_Toc655053519"/>
      <w:bookmarkStart w:id="224" w:name="_Toc75156550"/>
      <w:bookmarkStart w:id="225" w:name="_Toc404020556"/>
      <w:bookmarkStart w:id="226" w:name="_Toc1150357152"/>
      <w:bookmarkStart w:id="227" w:name="_Toc516748241"/>
      <w:bookmarkStart w:id="228" w:name="_Toc607"/>
      <w:bookmarkStart w:id="229" w:name="_Toc25392"/>
      <w:bookmarkStart w:id="230" w:name="_Toc24865"/>
      <w:bookmarkStart w:id="231" w:name="_Toc15335"/>
      <w:r>
        <w:rPr>
          <w:rFonts w:hint="eastAsia" w:ascii="黑体" w:hAnsi="黑体" w:eastAsia="黑体" w:cs="Times New Roman"/>
          <w:b w:val="0"/>
          <w:kern w:val="0"/>
          <w:sz w:val="32"/>
          <w:szCs w:val="32"/>
        </w:rPr>
        <w:t>三、</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Pr>
          <w:rFonts w:hint="eastAsia" w:ascii="黑体" w:hAnsi="黑体" w:eastAsia="黑体" w:cs="Times New Roman"/>
          <w:b w:val="0"/>
          <w:kern w:val="0"/>
          <w:sz w:val="32"/>
          <w:szCs w:val="32"/>
        </w:rPr>
        <w:t>主要任务</w:t>
      </w:r>
      <w:bookmarkEnd w:id="228"/>
      <w:bookmarkEnd w:id="229"/>
      <w:bookmarkEnd w:id="230"/>
      <w:bookmarkEnd w:id="231"/>
    </w:p>
    <w:p>
      <w:pPr>
        <w:ind w:firstLine="632" w:firstLineChars="200"/>
        <w:outlineLvl w:val="0"/>
        <w:rPr>
          <w:rFonts w:hint="eastAsia" w:ascii="楷体_GB2312" w:eastAsia="楷体_GB2312"/>
        </w:rPr>
      </w:pPr>
      <w:bookmarkStart w:id="232" w:name="_Toc83289935"/>
      <w:bookmarkStart w:id="233" w:name="_Toc75156551"/>
      <w:bookmarkStart w:id="234" w:name="_Toc79574499"/>
      <w:bookmarkStart w:id="235" w:name="_Toc1866373351"/>
      <w:bookmarkStart w:id="236" w:name="_Toc1754683202"/>
      <w:bookmarkStart w:id="237" w:name="_Toc5847"/>
      <w:bookmarkStart w:id="238" w:name="_Toc193408489"/>
      <w:bookmarkStart w:id="239" w:name="_Toc1897356315"/>
      <w:bookmarkStart w:id="240" w:name="_Toc2094544141"/>
      <w:bookmarkStart w:id="241" w:name="_Toc2036128703"/>
      <w:bookmarkStart w:id="242" w:name="_Toc1103218494"/>
      <w:bookmarkStart w:id="243" w:name="_Toc28457"/>
      <w:bookmarkStart w:id="244" w:name="_Toc7861"/>
      <w:bookmarkStart w:id="245" w:name="_Toc95741996"/>
      <w:bookmarkStart w:id="246" w:name="_Toc10518"/>
      <w:bookmarkStart w:id="247" w:name="_Toc206182698"/>
      <w:bookmarkStart w:id="248" w:name="_Toc24150"/>
      <w:bookmarkStart w:id="249" w:name="_Toc24411"/>
      <w:bookmarkStart w:id="250" w:name="_Toc4282"/>
      <w:bookmarkStart w:id="251" w:name="_Toc1892922076"/>
      <w:bookmarkStart w:id="252" w:name="_Toc1714674142"/>
      <w:bookmarkStart w:id="253" w:name="_Toc17101"/>
      <w:bookmarkStart w:id="254" w:name="_Toc857436072"/>
      <w:bookmarkStart w:id="255" w:name="_Toc2063851927"/>
      <w:bookmarkStart w:id="256" w:name="_Toc779546823"/>
      <w:bookmarkStart w:id="257" w:name="_Toc1649050026"/>
      <w:bookmarkStart w:id="258" w:name="_Toc95728749"/>
      <w:bookmarkStart w:id="259" w:name="_Toc31880"/>
      <w:bookmarkStart w:id="260" w:name="_Toc20416"/>
      <w:bookmarkStart w:id="261" w:name="_Toc5760"/>
      <w:bookmarkStart w:id="262" w:name="_Toc1050573852"/>
      <w:bookmarkStart w:id="263" w:name="_Toc2109821794"/>
      <w:r>
        <w:rPr>
          <w:rFonts w:hint="eastAsia" w:ascii="楷体_GB2312" w:eastAsia="楷体_GB2312"/>
        </w:rPr>
        <w:t>（一）</w:t>
      </w:r>
      <w:bookmarkEnd w:id="232"/>
      <w:bookmarkEnd w:id="233"/>
      <w:bookmarkEnd w:id="234"/>
      <w:r>
        <w:rPr>
          <w:rFonts w:hint="eastAsia" w:ascii="楷体_GB2312" w:eastAsia="楷体_GB2312"/>
        </w:rPr>
        <w:t>完善制度标准建设</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rPr>
          <w:rFonts w:hint="eastAsia" w:ascii="楷体_GB2312" w:eastAsia="楷体_GB2312"/>
        </w:rPr>
        <w:t>。</w:t>
      </w:r>
    </w:p>
    <w:p>
      <w:pPr>
        <w:ind w:firstLine="632" w:firstLineChars="200"/>
        <w:outlineLvl w:val="0"/>
        <w:rPr>
          <w:rFonts w:hint="eastAsia"/>
        </w:rPr>
      </w:pPr>
      <w:bookmarkStart w:id="264" w:name="_Toc79574500"/>
      <w:bookmarkStart w:id="265" w:name="_Toc75156552"/>
      <w:bookmarkStart w:id="266" w:name="_Toc30178"/>
      <w:bookmarkStart w:id="267" w:name="_Toc83289936"/>
      <w:bookmarkStart w:id="268" w:name="_Toc1382208838"/>
      <w:bookmarkStart w:id="269" w:name="_Toc1462265918"/>
      <w:bookmarkStart w:id="270" w:name="_Toc1980811876"/>
      <w:bookmarkStart w:id="271" w:name="_Toc21595"/>
      <w:bookmarkStart w:id="272" w:name="_Toc1181241631"/>
      <w:bookmarkStart w:id="273" w:name="_Toc27932"/>
      <w:bookmarkStart w:id="274" w:name="_Toc95728750"/>
      <w:bookmarkStart w:id="275" w:name="_Toc1247499511"/>
      <w:bookmarkStart w:id="276" w:name="_Toc438251425"/>
      <w:bookmarkStart w:id="277" w:name="_Toc179041581"/>
      <w:bookmarkStart w:id="278" w:name="_Toc9812"/>
      <w:bookmarkStart w:id="279" w:name="_Toc1492312194"/>
      <w:bookmarkStart w:id="280" w:name="_Toc95741997"/>
      <w:bookmarkStart w:id="281" w:name="_Toc10130"/>
      <w:bookmarkStart w:id="282" w:name="_Toc401488376"/>
      <w:bookmarkStart w:id="283" w:name="_Toc394079538"/>
      <w:bookmarkStart w:id="284" w:name="_Toc1515585272"/>
      <w:bookmarkStart w:id="285" w:name="_Toc52638754"/>
      <w:bookmarkStart w:id="286" w:name="_Toc27623"/>
      <w:bookmarkStart w:id="287" w:name="_Toc759067173"/>
      <w:bookmarkStart w:id="288" w:name="_Toc27436"/>
      <w:bookmarkStart w:id="289" w:name="_Toc32245"/>
      <w:bookmarkStart w:id="290" w:name="_Toc564052386"/>
      <w:bookmarkStart w:id="291" w:name="_Toc1859099449"/>
      <w:bookmarkStart w:id="292" w:name="_Toc21676"/>
      <w:bookmarkStart w:id="293" w:name="_Toc1026867756"/>
      <w:bookmarkStart w:id="294" w:name="_Toc18840"/>
      <w:bookmarkStart w:id="295" w:name="_Toc8813"/>
      <w:r>
        <w:rPr>
          <w:rFonts w:hint="eastAsia"/>
        </w:rPr>
        <w:t>1</w:t>
      </w:r>
      <w:bookmarkEnd w:id="264"/>
      <w:bookmarkEnd w:id="265"/>
      <w:bookmarkEnd w:id="266"/>
      <w:bookmarkEnd w:id="267"/>
      <w:r>
        <w:rPr>
          <w:rFonts w:hint="eastAsia"/>
        </w:rPr>
        <w:t>．提升规范化水平</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r>
        <w:rPr>
          <w:rFonts w:hint="eastAsia"/>
        </w:rPr>
        <w:t>。</w:t>
      </w:r>
    </w:p>
    <w:p>
      <w:pPr>
        <w:ind w:firstLine="632" w:firstLineChars="200"/>
        <w:rPr>
          <w:rFonts w:hint="eastAsia"/>
        </w:rPr>
      </w:pPr>
      <w:r>
        <w:rPr>
          <w:rFonts w:hint="eastAsia"/>
        </w:rPr>
        <w:t>根据国家社会信用体系建设相关法律法规和《江苏省社会信用条例》，依法依规、科学有序开展社会信用体系建设工作。加快完善信用配套政策，聚焦关键环节和重点领域，构建层次清晰、相互衔接的信用制度体系。强化信用制度合法性审查和合规性评估，完善</w:t>
      </w:r>
      <w:bookmarkStart w:id="296" w:name="_Toc75156554"/>
      <w:bookmarkStart w:id="297" w:name="_Toc17011"/>
      <w:bookmarkStart w:id="298" w:name="_Toc32712"/>
      <w:bookmarkStart w:id="299" w:name="_Toc3872"/>
      <w:bookmarkStart w:id="300" w:name="_Toc12089"/>
      <w:r>
        <w:rPr>
          <w:rFonts w:hint="eastAsia"/>
        </w:rPr>
        <w:t>失信约束制度，构建诚信建设长效管理机制。</w:t>
      </w:r>
    </w:p>
    <w:p>
      <w:pPr>
        <w:ind w:firstLine="632" w:firstLineChars="200"/>
        <w:outlineLvl w:val="0"/>
        <w:rPr>
          <w:rFonts w:hint="eastAsia"/>
        </w:rPr>
      </w:pPr>
      <w:bookmarkStart w:id="301" w:name="_Toc22153"/>
      <w:bookmarkStart w:id="302" w:name="_Toc13039"/>
      <w:bookmarkStart w:id="303" w:name="_Toc13575"/>
      <w:bookmarkStart w:id="304" w:name="_Toc14845"/>
      <w:bookmarkStart w:id="305" w:name="_Toc5427"/>
      <w:bookmarkStart w:id="306" w:name="_Toc4400"/>
      <w:bookmarkStart w:id="307" w:name="_Toc31981"/>
      <w:bookmarkStart w:id="308" w:name="_Toc84452487"/>
      <w:bookmarkStart w:id="309" w:name="_Toc297555789"/>
      <w:bookmarkStart w:id="310" w:name="_Toc95741998"/>
      <w:bookmarkStart w:id="311" w:name="_Toc10707"/>
      <w:bookmarkStart w:id="312" w:name="_Toc520153887"/>
      <w:bookmarkStart w:id="313" w:name="_Toc890325130"/>
      <w:bookmarkStart w:id="314" w:name="_Toc79574501"/>
      <w:bookmarkStart w:id="315" w:name="_Toc596176778"/>
      <w:bookmarkStart w:id="316" w:name="_Toc1260932263"/>
      <w:bookmarkStart w:id="317" w:name="_Toc1465704259"/>
      <w:bookmarkStart w:id="318" w:name="_Toc27741"/>
      <w:bookmarkStart w:id="319" w:name="_Toc83289937"/>
      <w:bookmarkStart w:id="320" w:name="_Toc202113528"/>
      <w:bookmarkStart w:id="321" w:name="_Toc1787162971"/>
      <w:bookmarkStart w:id="322" w:name="_Toc28464"/>
      <w:bookmarkStart w:id="323" w:name="_Toc764266445"/>
      <w:bookmarkStart w:id="324" w:name="_Toc70954489"/>
      <w:bookmarkStart w:id="325" w:name="_Toc1244105958"/>
      <w:bookmarkStart w:id="326" w:name="_Toc1454638575"/>
      <w:bookmarkStart w:id="327" w:name="_Toc1085830959"/>
      <w:bookmarkStart w:id="328" w:name="_Toc27910"/>
      <w:bookmarkStart w:id="329" w:name="_Toc545143575"/>
      <w:bookmarkStart w:id="330" w:name="_Toc702507621"/>
      <w:bookmarkStart w:id="331" w:name="_Toc95728751"/>
      <w:r>
        <w:rPr>
          <w:rFonts w:hint="eastAsia"/>
        </w:rPr>
        <w:t>2．加快标准化建设</w:t>
      </w:r>
      <w:bookmarkEnd w:id="301"/>
      <w:bookmarkEnd w:id="302"/>
      <w:bookmarkEnd w:id="303"/>
      <w:bookmarkEnd w:id="304"/>
      <w:r>
        <w:rPr>
          <w:rFonts w:hint="eastAsia"/>
        </w:rPr>
        <w:t>。</w:t>
      </w:r>
    </w:p>
    <w:p>
      <w:pPr>
        <w:ind w:firstLine="632" w:firstLineChars="200"/>
        <w:rPr>
          <w:rFonts w:hint="eastAsia"/>
        </w:rPr>
      </w:pPr>
      <w:r>
        <w:rPr>
          <w:rFonts w:hint="eastAsia"/>
        </w:rPr>
        <w:t>充分发挥标准化引领作用，严格执行国家和省标准，探索构建体现高质量发展要求、具有苏州特色的行业和区域信用管理标准体系。鼓励行业协会商会、信用服务机构及企业参与信用相关行业标准、地方标准、团体标准研制。</w:t>
      </w:r>
    </w:p>
    <w:p>
      <w:pPr>
        <w:ind w:firstLine="632" w:firstLineChars="200"/>
        <w:outlineLvl w:val="0"/>
        <w:rPr>
          <w:rFonts w:hint="eastAsia"/>
        </w:rPr>
      </w:pPr>
      <w:bookmarkStart w:id="332" w:name="_Toc29814"/>
      <w:bookmarkStart w:id="333" w:name="_Toc9597"/>
      <w:bookmarkStart w:id="334" w:name="_Toc31439"/>
      <w:bookmarkStart w:id="335" w:name="_Toc27524"/>
      <w:r>
        <w:rPr>
          <w:rFonts w:hint="eastAsia"/>
        </w:rPr>
        <w:t>3．推进</w:t>
      </w:r>
      <w:bookmarkEnd w:id="296"/>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r>
        <w:rPr>
          <w:rFonts w:hint="eastAsia"/>
        </w:rPr>
        <w:t>清单化管理</w:t>
      </w:r>
      <w:bookmarkEnd w:id="332"/>
      <w:bookmarkEnd w:id="333"/>
      <w:bookmarkEnd w:id="334"/>
      <w:bookmarkEnd w:id="335"/>
      <w:r>
        <w:rPr>
          <w:rFonts w:hint="eastAsia"/>
        </w:rPr>
        <w:t>。</w:t>
      </w:r>
    </w:p>
    <w:bookmarkEnd w:id="297"/>
    <w:bookmarkEnd w:id="298"/>
    <w:bookmarkEnd w:id="299"/>
    <w:bookmarkEnd w:id="300"/>
    <w:p>
      <w:pPr>
        <w:ind w:firstLine="632" w:firstLineChars="200"/>
        <w:rPr>
          <w:rFonts w:hint="eastAsia"/>
        </w:rPr>
      </w:pPr>
      <w:r>
        <w:rPr>
          <w:rFonts w:hint="eastAsia"/>
        </w:rPr>
        <w:t>以全国公共信用信息基础目录和省公共信用信息补充目录为依据，编制苏州市公共信用信息补充目录。在国家和省清单的基础上，制定实施苏州市信用承诺事项清单、守信激励措施清单和失信惩戒措施补充清单。</w:t>
      </w:r>
    </w:p>
    <w:p>
      <w:pPr>
        <w:ind w:firstLine="632" w:firstLineChars="200"/>
        <w:outlineLvl w:val="0"/>
        <w:rPr>
          <w:rFonts w:hint="eastAsia" w:ascii="楷体_GB2312" w:eastAsia="楷体_GB2312"/>
        </w:rPr>
      </w:pPr>
      <w:bookmarkStart w:id="336" w:name="_Toc5856"/>
      <w:bookmarkStart w:id="337" w:name="_Toc1435627223"/>
      <w:bookmarkStart w:id="338" w:name="_Toc1341216270"/>
      <w:bookmarkStart w:id="339" w:name="_Toc27033"/>
      <w:bookmarkStart w:id="340" w:name="_Toc557493701"/>
      <w:bookmarkStart w:id="341" w:name="_Toc453841562"/>
      <w:bookmarkStart w:id="342" w:name="_Toc909595324"/>
      <w:bookmarkStart w:id="343" w:name="_Toc83289939"/>
      <w:bookmarkStart w:id="344" w:name="_Toc97433463"/>
      <w:bookmarkStart w:id="345" w:name="_Toc6710"/>
      <w:bookmarkStart w:id="346" w:name="_Toc1596823134"/>
      <w:bookmarkStart w:id="347" w:name="_Toc27417"/>
      <w:bookmarkStart w:id="348" w:name="_Toc56026633"/>
      <w:bookmarkStart w:id="349" w:name="_Toc278478996"/>
      <w:bookmarkStart w:id="350" w:name="_Toc26138"/>
      <w:bookmarkStart w:id="351" w:name="_Toc1725864266"/>
      <w:bookmarkStart w:id="352" w:name="_Toc1690190467"/>
      <w:bookmarkStart w:id="353" w:name="_Toc1389600936"/>
      <w:bookmarkStart w:id="354" w:name="_Toc75156556"/>
      <w:bookmarkStart w:id="355" w:name="_Toc2011672087"/>
      <w:bookmarkStart w:id="356" w:name="_Toc95742000"/>
      <w:bookmarkStart w:id="357" w:name="_Toc32533"/>
      <w:bookmarkStart w:id="358" w:name="_Toc10807"/>
      <w:bookmarkStart w:id="359" w:name="_Toc16605"/>
      <w:bookmarkStart w:id="360" w:name="_Toc1742677282"/>
      <w:bookmarkStart w:id="361" w:name="_Toc25389"/>
      <w:bookmarkStart w:id="362" w:name="_Toc6077"/>
      <w:bookmarkStart w:id="363" w:name="_Toc30790"/>
      <w:bookmarkStart w:id="364" w:name="_Toc637705460"/>
      <w:bookmarkStart w:id="365" w:name="_Toc19804"/>
      <w:bookmarkStart w:id="366" w:name="_Toc79574503"/>
      <w:bookmarkStart w:id="367" w:name="_Toc95728753"/>
      <w:bookmarkStart w:id="368" w:name="_Toc829074005"/>
      <w:bookmarkStart w:id="369" w:name="_Toc28505"/>
      <w:bookmarkStart w:id="370" w:name="_Toc3914"/>
      <w:bookmarkStart w:id="371" w:name="_Toc23782"/>
      <w:r>
        <w:rPr>
          <w:rFonts w:hint="eastAsia" w:ascii="楷体_GB2312" w:eastAsia="楷体_GB2312"/>
        </w:rPr>
        <w:t>（二）推动系统优化升级</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hint="eastAsia" w:ascii="楷体_GB2312" w:eastAsia="楷体_GB2312"/>
        </w:rPr>
        <w:t>。</w:t>
      </w:r>
    </w:p>
    <w:p>
      <w:pPr>
        <w:ind w:firstLine="632" w:firstLineChars="200"/>
        <w:outlineLvl w:val="0"/>
        <w:rPr>
          <w:rFonts w:hint="eastAsia"/>
        </w:rPr>
      </w:pPr>
      <w:bookmarkStart w:id="372" w:name="_Toc79574504"/>
      <w:bookmarkStart w:id="373" w:name="_Toc12195"/>
      <w:bookmarkStart w:id="374" w:name="_Toc3514"/>
      <w:bookmarkStart w:id="375" w:name="_Toc935"/>
      <w:bookmarkStart w:id="376" w:name="_Toc83289940"/>
      <w:bookmarkStart w:id="377" w:name="_Toc75156557"/>
      <w:bookmarkStart w:id="378" w:name="_Toc2216"/>
      <w:bookmarkStart w:id="379" w:name="_Toc815"/>
      <w:bookmarkStart w:id="380" w:name="_Toc945338179"/>
      <w:bookmarkStart w:id="381" w:name="_Toc20650"/>
      <w:bookmarkStart w:id="382" w:name="_Toc17680"/>
      <w:bookmarkStart w:id="383" w:name="_Toc23017"/>
      <w:bookmarkStart w:id="384" w:name="_Toc1973329859"/>
      <w:bookmarkStart w:id="385" w:name="_Toc2042408778"/>
      <w:bookmarkStart w:id="386" w:name="_Toc1206749364"/>
      <w:bookmarkStart w:id="387" w:name="_Toc30431"/>
      <w:bookmarkStart w:id="388" w:name="_Toc1089444114"/>
      <w:bookmarkStart w:id="389" w:name="_Toc1171538970"/>
      <w:bookmarkStart w:id="390" w:name="_Toc95728754"/>
      <w:bookmarkStart w:id="391" w:name="_Toc1667205468"/>
      <w:bookmarkStart w:id="392" w:name="_Toc20665"/>
      <w:bookmarkStart w:id="393" w:name="_Toc1587530574"/>
      <w:bookmarkStart w:id="394" w:name="_Toc1679365730"/>
      <w:bookmarkStart w:id="395" w:name="_Toc1987463318"/>
      <w:bookmarkStart w:id="396" w:name="_Toc95742001"/>
      <w:bookmarkStart w:id="397" w:name="_Toc1767"/>
      <w:bookmarkStart w:id="398" w:name="_Toc798770820"/>
      <w:bookmarkStart w:id="399" w:name="_Toc1960581447"/>
      <w:bookmarkStart w:id="400" w:name="_Toc4445"/>
      <w:bookmarkStart w:id="401" w:name="_Toc21572"/>
      <w:bookmarkStart w:id="402" w:name="_Toc1375237885"/>
      <w:bookmarkStart w:id="403" w:name="_Toc7708"/>
      <w:bookmarkStart w:id="404" w:name="_Toc10998"/>
      <w:bookmarkStart w:id="405" w:name="_Toc235676634"/>
      <w:bookmarkStart w:id="406" w:name="_Toc175770122"/>
      <w:bookmarkStart w:id="407" w:name="_Toc814623744"/>
      <w:r>
        <w:rPr>
          <w:rFonts w:hint="eastAsia"/>
        </w:rPr>
        <w:t>1</w:t>
      </w:r>
      <w:bookmarkEnd w:id="372"/>
      <w:bookmarkEnd w:id="373"/>
      <w:bookmarkEnd w:id="374"/>
      <w:bookmarkEnd w:id="375"/>
      <w:bookmarkEnd w:id="376"/>
      <w:bookmarkEnd w:id="377"/>
      <w:bookmarkEnd w:id="378"/>
      <w:bookmarkStart w:id="408" w:name="_Toc75156558"/>
      <w:bookmarkStart w:id="409" w:name="_Toc79574505"/>
      <w:bookmarkStart w:id="410" w:name="_Toc83289941"/>
      <w:r>
        <w:rPr>
          <w:rFonts w:hint="eastAsia"/>
        </w:rPr>
        <w:t>．全面推进省市区一体化建设</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rFonts w:hint="eastAsia"/>
        </w:rPr>
        <w:t>。</w:t>
      </w:r>
    </w:p>
    <w:p>
      <w:pPr>
        <w:ind w:firstLine="632" w:firstLineChars="200"/>
        <w:rPr>
          <w:rFonts w:hint="eastAsia"/>
        </w:rPr>
      </w:pPr>
      <w:r>
        <w:rPr>
          <w:rFonts w:hint="eastAsia"/>
        </w:rPr>
        <w:t>优化苏州市公共信用信息系统，全面对接国家、省信用信息共享平台和信用门户网站，建立三级数据协同机制。加强基础服务和管理业务一体化协同，畅通信用查询、信用修复、异议处理等业务流程联动。</w:t>
      </w:r>
    </w:p>
    <w:tbl>
      <w:tblPr>
        <w:tblStyle w:val="15"/>
        <w:tblW w:w="884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8845"/>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789" w:type="dxa"/>
          </w:tcPr>
          <w:p>
            <w:pPr>
              <w:jc w:val="center"/>
              <w:rPr>
                <w:rFonts w:hint="eastAsia" w:ascii="黑体" w:hAnsi="黑体" w:eastAsia="黑体"/>
                <w:sz w:val="28"/>
                <w:szCs w:val="28"/>
              </w:rPr>
            </w:pPr>
            <w:r>
              <w:rPr>
                <w:rFonts w:hint="eastAsia" w:ascii="黑体" w:hAnsi="黑体" w:eastAsia="黑体"/>
                <w:sz w:val="28"/>
                <w:szCs w:val="28"/>
              </w:rPr>
              <w:t>专栏1：信用服务质效提升工程</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789" w:type="dxa"/>
          </w:tcPr>
          <w:p>
            <w:pPr>
              <w:ind w:firstLine="552" w:firstLineChars="200"/>
              <w:rPr>
                <w:rFonts w:hint="eastAsia"/>
                <w:sz w:val="28"/>
                <w:szCs w:val="28"/>
                <w:highlight w:val="yellow"/>
              </w:rPr>
            </w:pPr>
            <w:r>
              <w:rPr>
                <w:rFonts w:hint="eastAsia"/>
                <w:sz w:val="28"/>
                <w:szCs w:val="28"/>
              </w:rPr>
              <w:t>构建覆盖网站、窗口、手机APP、自助端的立体化公共信用服务体系，向社会提供高效优质的线上线下服务，实现信用服务质效双提升。依托“信用苏州”网站，集成信用查询、信用修复、异议处理等标准化信用服务，提供“一站式”线上办理。依托“苏商通”法人服务总入口APP，实现企业信用服务“掌上办”。提升窗口服务水平，充分满足定制化、个性化信用服务需求。丰富完善自助终端服务功能，推广信用信息自助查询、信用报告自助打印。</w:t>
            </w:r>
          </w:p>
        </w:tc>
      </w:tr>
    </w:tbl>
    <w:p>
      <w:pPr>
        <w:ind w:firstLine="632" w:firstLineChars="200"/>
        <w:outlineLvl w:val="0"/>
        <w:rPr>
          <w:rFonts w:hint="eastAsia"/>
        </w:rPr>
      </w:pPr>
      <w:bookmarkStart w:id="411" w:name="_Toc1635523071"/>
      <w:bookmarkStart w:id="412" w:name="_Toc1085916758"/>
      <w:bookmarkStart w:id="413" w:name="_Toc22693"/>
      <w:bookmarkStart w:id="414" w:name="_Toc1636924995"/>
      <w:bookmarkStart w:id="415" w:name="_Toc17844"/>
      <w:bookmarkStart w:id="416" w:name="_Toc321887615"/>
      <w:bookmarkStart w:id="417" w:name="_Toc11377"/>
      <w:bookmarkStart w:id="418" w:name="_Toc1497541703"/>
      <w:bookmarkStart w:id="419" w:name="_Toc1691524195"/>
      <w:bookmarkStart w:id="420" w:name="_Toc843144358"/>
      <w:bookmarkStart w:id="421" w:name="_Toc95742002"/>
      <w:bookmarkStart w:id="422" w:name="_Toc95728755"/>
      <w:bookmarkStart w:id="423" w:name="_Toc14597"/>
      <w:bookmarkStart w:id="424" w:name="_Toc1814798175"/>
      <w:bookmarkStart w:id="425" w:name="_Toc1982680096"/>
      <w:bookmarkStart w:id="426" w:name="_Toc1419399596"/>
      <w:bookmarkStart w:id="427" w:name="_Toc132324562"/>
      <w:bookmarkStart w:id="428" w:name="_Toc339390400"/>
      <w:bookmarkStart w:id="429" w:name="_Toc8334"/>
      <w:bookmarkStart w:id="430" w:name="_Toc11991"/>
      <w:bookmarkStart w:id="431" w:name="_Toc1996311156"/>
      <w:bookmarkStart w:id="432" w:name="_Toc143"/>
      <w:bookmarkStart w:id="433" w:name="_Toc6133"/>
      <w:bookmarkStart w:id="434" w:name="_Toc1013"/>
      <w:bookmarkStart w:id="435" w:name="_Toc32766"/>
      <w:bookmarkStart w:id="436" w:name="_Toc1649869055"/>
      <w:bookmarkStart w:id="437" w:name="_Toc3943"/>
      <w:bookmarkStart w:id="438" w:name="_Toc1895821655"/>
      <w:bookmarkStart w:id="439" w:name="_Toc1149220986"/>
      <w:r>
        <w:rPr>
          <w:rFonts w:hint="eastAsia"/>
        </w:rPr>
        <w:t>2．着力提升信用信息归集质量</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r>
        <w:rPr>
          <w:rFonts w:hint="eastAsia"/>
        </w:rPr>
        <w:t>。</w:t>
      </w:r>
    </w:p>
    <w:p>
      <w:pPr>
        <w:ind w:firstLine="632" w:firstLineChars="200"/>
        <w:rPr>
          <w:rFonts w:hint="eastAsia"/>
        </w:rPr>
      </w:pPr>
      <w:r>
        <w:rPr>
          <w:rFonts w:hint="eastAsia"/>
        </w:rPr>
        <w:t>按照信用信息归集目录，依法依规开展信息归集，实现“应归尽归”。加强信用数据治理，建立健全覆盖数据全生命周期的质量管控体系，实现来源可视、质量可控、问题可溯。强化信用信息系统与政务服务平台、“互联网+监管”系统以及各行业信息系统的对接，提高数据采集规范性、完整性、连续性。</w:t>
      </w:r>
    </w:p>
    <w:p>
      <w:pPr>
        <w:ind w:firstLine="632" w:firstLineChars="200"/>
        <w:outlineLvl w:val="0"/>
        <w:rPr>
          <w:rFonts w:hint="eastAsia"/>
        </w:rPr>
      </w:pPr>
      <w:bookmarkStart w:id="440" w:name="_Toc79574506"/>
      <w:bookmarkStart w:id="441" w:name="_Toc75156559"/>
      <w:bookmarkStart w:id="442" w:name="_Toc733497147"/>
      <w:bookmarkStart w:id="443" w:name="_Toc75940691"/>
      <w:bookmarkStart w:id="444" w:name="_Toc958132878"/>
      <w:bookmarkStart w:id="445" w:name="_Toc679404655"/>
      <w:bookmarkStart w:id="446" w:name="_Toc27563"/>
      <w:bookmarkStart w:id="447" w:name="_Toc1863386738"/>
      <w:bookmarkStart w:id="448" w:name="_Toc1916152293"/>
      <w:bookmarkStart w:id="449" w:name="_Toc95728756"/>
      <w:bookmarkStart w:id="450" w:name="_Toc1382520232"/>
      <w:bookmarkStart w:id="451" w:name="_Toc503699536"/>
      <w:bookmarkStart w:id="452" w:name="_Toc14616"/>
      <w:bookmarkStart w:id="453" w:name="_Toc1819617536"/>
      <w:bookmarkStart w:id="454" w:name="_Toc30068"/>
      <w:bookmarkStart w:id="455" w:name="_Toc601511257"/>
      <w:bookmarkStart w:id="456" w:name="_Toc836342364"/>
      <w:bookmarkStart w:id="457" w:name="_Toc26528"/>
      <w:bookmarkStart w:id="458" w:name="_Toc5709"/>
      <w:bookmarkStart w:id="459" w:name="_Toc1065788176"/>
      <w:bookmarkStart w:id="460" w:name="_Toc2853"/>
      <w:bookmarkStart w:id="461" w:name="_Toc51353272"/>
      <w:bookmarkStart w:id="462" w:name="_Toc95742003"/>
      <w:bookmarkStart w:id="463" w:name="_Toc1083778801"/>
      <w:bookmarkStart w:id="464" w:name="_Toc83289942"/>
      <w:bookmarkStart w:id="465" w:name="_Toc5228"/>
      <w:bookmarkStart w:id="466" w:name="_Toc24059"/>
      <w:bookmarkStart w:id="467" w:name="_Toc2051738871"/>
      <w:bookmarkStart w:id="468" w:name="_Toc3346"/>
      <w:bookmarkStart w:id="469" w:name="_Toc1970387779"/>
      <w:bookmarkStart w:id="470" w:name="_Toc267"/>
      <w:bookmarkStart w:id="471" w:name="_Toc1192"/>
      <w:bookmarkStart w:id="472" w:name="_Toc29066"/>
      <w:bookmarkStart w:id="473" w:name="_Toc17116"/>
      <w:r>
        <w:rPr>
          <w:rFonts w:hint="eastAsia"/>
        </w:rPr>
        <w:t>3．加快推动信用信息共享</w:t>
      </w:r>
      <w:bookmarkEnd w:id="440"/>
      <w:bookmarkEnd w:id="441"/>
      <w:r>
        <w:rPr>
          <w:rFonts w:hint="eastAsia"/>
        </w:rPr>
        <w:t>应用</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rPr>
          <w:rFonts w:hint="eastAsia"/>
        </w:rPr>
        <w:t>。</w:t>
      </w:r>
    </w:p>
    <w:bookmarkEnd w:id="472"/>
    <w:bookmarkEnd w:id="473"/>
    <w:p>
      <w:pPr>
        <w:ind w:firstLine="632" w:firstLineChars="200"/>
        <w:rPr>
          <w:rFonts w:hint="eastAsia"/>
        </w:rPr>
      </w:pPr>
      <w:r>
        <w:rPr>
          <w:rFonts w:hint="eastAsia"/>
        </w:rPr>
        <w:t>通过政务资源共享平台和业务中台提供数据服务，扩大跨地区、跨部门信用信息共享范围，实现深度共享、按需交换，有效支撑各类信用应用需求。完善“企信通”平台，主动推动关联企业信用数据，提升行业监管的针对性和有效性。依法建立健全公共信用信息社会化应用机制，优先开放与民生保障、社会治理等密切相关的信用信息，与金融信用信息、市场信用信息等资源整合，建设综合性数据资源池。鼓励市场主体利用区块链、大数据等手段深度挖掘信用信息价值，研发市场化信用产品，推动信用信息融合应用。</w:t>
      </w:r>
    </w:p>
    <w:p>
      <w:pPr>
        <w:ind w:firstLine="632" w:firstLineChars="200"/>
        <w:outlineLvl w:val="0"/>
        <w:rPr>
          <w:rFonts w:hint="eastAsia"/>
        </w:rPr>
      </w:pPr>
      <w:bookmarkStart w:id="474" w:name="_Toc83289943"/>
      <w:bookmarkStart w:id="475" w:name="_Toc75156560"/>
      <w:bookmarkStart w:id="476" w:name="_Toc79574507"/>
      <w:bookmarkStart w:id="477" w:name="_Toc20182"/>
      <w:bookmarkStart w:id="478" w:name="_Toc3488"/>
      <w:bookmarkStart w:id="479" w:name="_Toc12648"/>
      <w:bookmarkStart w:id="480" w:name="_Toc8835"/>
      <w:bookmarkStart w:id="481" w:name="_Toc1096241283"/>
      <w:bookmarkStart w:id="482" w:name="_Toc12518"/>
      <w:bookmarkStart w:id="483" w:name="_Toc6546"/>
      <w:bookmarkStart w:id="484" w:name="_Toc969438901"/>
      <w:bookmarkStart w:id="485" w:name="_Toc14062"/>
      <w:bookmarkStart w:id="486" w:name="_Toc1324031409"/>
      <w:bookmarkStart w:id="487" w:name="_Toc611845230"/>
      <w:bookmarkStart w:id="488" w:name="_Toc1279777741"/>
      <w:bookmarkStart w:id="489" w:name="_Toc23571"/>
      <w:bookmarkStart w:id="490" w:name="_Toc1937448302"/>
      <w:bookmarkStart w:id="491" w:name="_Toc1183561724"/>
      <w:bookmarkStart w:id="492" w:name="_Toc7867"/>
      <w:bookmarkStart w:id="493" w:name="_Toc11270"/>
      <w:bookmarkStart w:id="494" w:name="_Toc19237"/>
      <w:bookmarkStart w:id="495" w:name="_Toc1121577388"/>
      <w:bookmarkStart w:id="496" w:name="_Toc1407157643"/>
      <w:bookmarkStart w:id="497" w:name="_Toc6505"/>
      <w:bookmarkStart w:id="498" w:name="_Toc95742004"/>
      <w:bookmarkStart w:id="499" w:name="_Toc9281"/>
      <w:bookmarkStart w:id="500" w:name="_Toc95728757"/>
      <w:bookmarkStart w:id="501" w:name="_Toc2025537240"/>
      <w:bookmarkStart w:id="502" w:name="_Toc12525"/>
      <w:bookmarkStart w:id="503" w:name="_Toc2140685066"/>
      <w:bookmarkStart w:id="504" w:name="_Toc683131200"/>
      <w:bookmarkStart w:id="505" w:name="_Toc713277437"/>
      <w:bookmarkStart w:id="506" w:name="_Toc396476420"/>
      <w:bookmarkStart w:id="507" w:name="_Toc683819454"/>
      <w:bookmarkStart w:id="508" w:name="_Toc1470188704"/>
      <w:bookmarkStart w:id="509" w:name="_Toc22057"/>
      <w:r>
        <w:rPr>
          <w:rFonts w:hint="eastAsia"/>
        </w:rPr>
        <w:t>4</w:t>
      </w:r>
      <w:bookmarkEnd w:id="474"/>
      <w:bookmarkEnd w:id="475"/>
      <w:bookmarkEnd w:id="476"/>
      <w:bookmarkEnd w:id="477"/>
      <w:bookmarkEnd w:id="478"/>
      <w:bookmarkEnd w:id="479"/>
      <w:bookmarkEnd w:id="480"/>
      <w:bookmarkStart w:id="510" w:name="_Toc7958"/>
      <w:bookmarkStart w:id="511" w:name="_Toc2140"/>
      <w:bookmarkStart w:id="512" w:name="_Toc83289944"/>
      <w:bookmarkStart w:id="513" w:name="_Toc3298"/>
      <w:bookmarkStart w:id="514" w:name="_Toc75156561"/>
      <w:bookmarkStart w:id="515" w:name="_Toc79574508"/>
      <w:bookmarkStart w:id="516" w:name="_Toc8438"/>
      <w:r>
        <w:rPr>
          <w:rFonts w:hint="eastAsia"/>
        </w:rPr>
        <w:t>．持续加强信用信息安全保障</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r>
        <w:rPr>
          <w:rFonts w:hint="eastAsia"/>
        </w:rPr>
        <w:t>。</w:t>
      </w:r>
    </w:p>
    <w:p>
      <w:pPr>
        <w:ind w:firstLine="632" w:firstLineChars="200"/>
        <w:rPr>
          <w:rFonts w:hint="eastAsia"/>
        </w:rPr>
      </w:pPr>
      <w:r>
        <w:rPr>
          <w:rFonts w:hint="eastAsia"/>
        </w:rPr>
        <w:t>加强信息安全基础设施建设，对公共信用信息系统采取有效的信息安全保护措施。严格规范信用信息查询使用权限和程序，防止信息泄露和非法使用，保护商业秘密和个人隐私，维护市场主体合法权益。建立完善信息安全监控体系，加大信息安全监督检查力度。</w:t>
      </w:r>
    </w:p>
    <w:p>
      <w:pPr>
        <w:ind w:firstLine="632" w:firstLineChars="200"/>
        <w:outlineLvl w:val="0"/>
        <w:rPr>
          <w:rFonts w:hint="eastAsia" w:ascii="楷体_GB2312" w:eastAsia="楷体_GB2312"/>
        </w:rPr>
      </w:pPr>
      <w:bookmarkStart w:id="517" w:name="_Toc21521"/>
      <w:bookmarkStart w:id="518" w:name="_Toc32202"/>
      <w:bookmarkStart w:id="519" w:name="_Toc2675"/>
      <w:bookmarkStart w:id="520" w:name="_Toc4142"/>
      <w:r>
        <w:rPr>
          <w:rFonts w:hint="eastAsia" w:ascii="楷体_GB2312" w:eastAsia="楷体_GB2312"/>
        </w:rPr>
        <w:t>（三）强化政务诚信建设</w:t>
      </w:r>
      <w:bookmarkEnd w:id="517"/>
      <w:bookmarkEnd w:id="518"/>
      <w:bookmarkEnd w:id="519"/>
      <w:bookmarkEnd w:id="520"/>
      <w:r>
        <w:rPr>
          <w:rFonts w:hint="eastAsia" w:ascii="楷体_GB2312" w:eastAsia="楷体_GB2312"/>
        </w:rPr>
        <w:t>。</w:t>
      </w:r>
    </w:p>
    <w:p>
      <w:pPr>
        <w:ind w:firstLine="632" w:firstLineChars="200"/>
        <w:outlineLvl w:val="0"/>
        <w:rPr>
          <w:rFonts w:hint="eastAsia"/>
        </w:rPr>
      </w:pPr>
      <w:bookmarkStart w:id="521" w:name="_Toc19554"/>
      <w:bookmarkStart w:id="522" w:name="_Toc11918"/>
      <w:bookmarkStart w:id="523" w:name="_Toc374"/>
      <w:bookmarkStart w:id="524" w:name="_Toc7333"/>
      <w:r>
        <w:rPr>
          <w:rFonts w:hint="eastAsia"/>
        </w:rPr>
        <w:t>1．深化依法行政和政务公开</w:t>
      </w:r>
      <w:bookmarkEnd w:id="521"/>
      <w:bookmarkEnd w:id="522"/>
      <w:bookmarkEnd w:id="523"/>
      <w:bookmarkEnd w:id="524"/>
      <w:r>
        <w:rPr>
          <w:rFonts w:hint="eastAsia"/>
        </w:rPr>
        <w:t>。</w:t>
      </w:r>
    </w:p>
    <w:p>
      <w:pPr>
        <w:ind w:firstLine="632" w:firstLineChars="200"/>
        <w:rPr>
          <w:rFonts w:hint="eastAsia"/>
        </w:rPr>
      </w:pPr>
      <w:r>
        <w:rPr>
          <w:rFonts w:hint="eastAsia"/>
        </w:rPr>
        <w:t>完善依法行政制度体系，将依法行政贯穿于决策、执行、监督、服务全过程。坚持“以公开为常态，不公开为例外”原则，推进政务公开规范化和标准化，推动政府决策和管理服务更加透明规范。持续扩大行政行为信息公开范围，在做好“双公示”的基础上，推动行政强制、行政确认、行政征收、行政给付、行政裁决、行政补偿、行政奖励和行政监督检查等其他行政行为信息依法依规公开。</w:t>
      </w:r>
    </w:p>
    <w:p>
      <w:pPr>
        <w:ind w:firstLine="632" w:firstLineChars="200"/>
        <w:outlineLvl w:val="0"/>
        <w:rPr>
          <w:rFonts w:hint="eastAsia"/>
        </w:rPr>
      </w:pPr>
      <w:bookmarkStart w:id="525" w:name="_Toc29175"/>
      <w:bookmarkStart w:id="526" w:name="_Toc15502"/>
      <w:bookmarkStart w:id="527" w:name="_Toc2623"/>
      <w:bookmarkStart w:id="528" w:name="_Toc3248"/>
      <w:r>
        <w:rPr>
          <w:rFonts w:hint="eastAsia"/>
        </w:rPr>
        <w:t>2．完善政务</w:t>
      </w:r>
      <w:bookmarkEnd w:id="525"/>
      <w:bookmarkEnd w:id="526"/>
      <w:bookmarkEnd w:id="527"/>
      <w:r>
        <w:rPr>
          <w:rFonts w:hint="eastAsia"/>
        </w:rPr>
        <w:t>诚信</w:t>
      </w:r>
      <w:bookmarkEnd w:id="528"/>
      <w:r>
        <w:rPr>
          <w:rFonts w:hint="eastAsia"/>
        </w:rPr>
        <w:t>系统。</w:t>
      </w:r>
    </w:p>
    <w:p>
      <w:pPr>
        <w:ind w:firstLine="632" w:firstLineChars="200"/>
        <w:rPr>
          <w:rFonts w:hint="eastAsia"/>
        </w:rPr>
      </w:pPr>
      <w:r>
        <w:rPr>
          <w:rFonts w:hint="eastAsia"/>
        </w:rPr>
        <w:t>优化政务信用信息系统，完善政府部门和公职人员信用档案，深化政务信用信息与纪委“智慧监督”平台等共享应用。建立苏州市政务诚信监测指标体系，对依法行政、政务公开、勤政高效、守信践诺以及政务诚信管理等方面进行监督检查和监测评价。开展街道、乡镇等基层政务诚信监测评价，不断丰富监测内容，优化评价模式。</w:t>
      </w:r>
    </w:p>
    <w:p>
      <w:pPr>
        <w:ind w:firstLine="632" w:firstLineChars="200"/>
        <w:outlineLvl w:val="0"/>
        <w:rPr>
          <w:rFonts w:hint="eastAsia"/>
        </w:rPr>
      </w:pPr>
      <w:bookmarkStart w:id="529" w:name="_Toc16027"/>
      <w:bookmarkStart w:id="530" w:name="_Toc18523"/>
      <w:bookmarkStart w:id="531" w:name="_Toc5272"/>
      <w:bookmarkStart w:id="532" w:name="_Toc14184"/>
      <w:r>
        <w:rPr>
          <w:rFonts w:hint="eastAsia"/>
        </w:rPr>
        <w:t>3．加强重点领域政务诚信建设</w:t>
      </w:r>
      <w:bookmarkEnd w:id="529"/>
      <w:bookmarkEnd w:id="530"/>
      <w:bookmarkEnd w:id="531"/>
      <w:bookmarkEnd w:id="532"/>
      <w:r>
        <w:rPr>
          <w:rFonts w:hint="eastAsia"/>
        </w:rPr>
        <w:t>。</w:t>
      </w:r>
    </w:p>
    <w:p>
      <w:pPr>
        <w:ind w:firstLine="632" w:firstLineChars="200"/>
        <w:rPr>
          <w:rFonts w:hint="eastAsia"/>
        </w:rPr>
      </w:pPr>
      <w:r>
        <w:rPr>
          <w:rFonts w:hint="eastAsia"/>
        </w:rPr>
        <w:t>进一步加强政府采购、政府和社会资本合作、招标投标、招商引资、地方政府债务、统计、街道和乡镇等领域政务诚信建设，督促政府部门和公职人员严格履行向社会作出的承诺以及依法订立的各类合同，在社会信用体系建设中发挥示范表率作用。</w:t>
      </w:r>
    </w:p>
    <w:p>
      <w:pPr>
        <w:ind w:firstLine="632" w:firstLineChars="200"/>
        <w:outlineLvl w:val="0"/>
        <w:rPr>
          <w:rFonts w:hint="eastAsia"/>
        </w:rPr>
      </w:pPr>
      <w:bookmarkStart w:id="533" w:name="_Toc11947"/>
      <w:bookmarkStart w:id="534" w:name="_Toc20723"/>
      <w:bookmarkStart w:id="535" w:name="_Toc26364"/>
      <w:bookmarkStart w:id="536" w:name="_Toc4253"/>
      <w:r>
        <w:rPr>
          <w:rFonts w:hint="eastAsia"/>
        </w:rPr>
        <w:t>4．健全“政府承诺+社会监督+失信问责”机制</w:t>
      </w:r>
      <w:bookmarkEnd w:id="533"/>
      <w:bookmarkEnd w:id="534"/>
      <w:bookmarkEnd w:id="535"/>
      <w:bookmarkEnd w:id="536"/>
      <w:r>
        <w:rPr>
          <w:rFonts w:hint="eastAsia"/>
        </w:rPr>
        <w:t>。</w:t>
      </w:r>
    </w:p>
    <w:p>
      <w:pPr>
        <w:ind w:firstLine="632" w:firstLineChars="200"/>
        <w:rPr>
          <w:rFonts w:hint="eastAsia"/>
        </w:rPr>
      </w:pPr>
      <w:r>
        <w:rPr>
          <w:rFonts w:hint="eastAsia"/>
        </w:rPr>
        <w:t>完善守信践诺机制，准确记录并客观评价各级政府部门和公职人员对职权范围内行政事项以及行政服务质量承诺、期限承诺和保障承诺的履行情况。建立健全政府失信责任追究制度，将政府部门和公职人员在履职过程中，因违法违规、失信违约被司法判决、行政处罚、政务处分等信息纳入政务失信记录。</w:t>
      </w:r>
    </w:p>
    <w:p>
      <w:pPr>
        <w:ind w:firstLine="632" w:firstLineChars="200"/>
        <w:outlineLvl w:val="0"/>
        <w:rPr>
          <w:rFonts w:hint="eastAsia"/>
        </w:rPr>
      </w:pPr>
      <w:bookmarkStart w:id="537" w:name="_Toc23478"/>
      <w:bookmarkStart w:id="538" w:name="_Toc19222"/>
      <w:bookmarkStart w:id="539" w:name="_Toc25633"/>
      <w:bookmarkStart w:id="540" w:name="_Toc2604"/>
      <w:r>
        <w:rPr>
          <w:rFonts w:hint="eastAsia"/>
        </w:rPr>
        <w:t>5．加强公职人员信用管理</w:t>
      </w:r>
      <w:bookmarkEnd w:id="537"/>
      <w:bookmarkEnd w:id="538"/>
      <w:bookmarkEnd w:id="539"/>
      <w:bookmarkEnd w:id="540"/>
      <w:r>
        <w:rPr>
          <w:rFonts w:hint="eastAsia"/>
        </w:rPr>
        <w:t>。</w:t>
      </w:r>
    </w:p>
    <w:p>
      <w:pPr>
        <w:ind w:firstLine="632" w:firstLineChars="200"/>
        <w:rPr>
          <w:rFonts w:hint="eastAsia"/>
        </w:rPr>
      </w:pPr>
      <w:r>
        <w:rPr>
          <w:rFonts w:hint="eastAsia"/>
        </w:rPr>
        <w:t>在公务员录用、调任、职务晋升、评优评先中查询信用信息，做到逢录必查、逢调必查、逢任必查。健全守信激励机制，在典型选树、评选表彰中优先考虑守信公务员。依托苏州市干部在线学习中心等，持续打造诚信教育精品课程，常态化开展培训。</w:t>
      </w:r>
    </w:p>
    <w:p>
      <w:pPr>
        <w:ind w:firstLine="632" w:firstLineChars="200"/>
        <w:rPr>
          <w:rFonts w:hint="eastAsia"/>
        </w:rPr>
      </w:pPr>
      <w:r>
        <w:rPr>
          <w:rFonts w:hint="eastAsia"/>
        </w:rPr>
        <w:t>6．持续开展政府失信问题专项治理。</w:t>
      </w:r>
    </w:p>
    <w:p>
      <w:pPr>
        <w:ind w:firstLine="632" w:firstLineChars="200"/>
        <w:rPr>
          <w:rFonts w:hint="eastAsia"/>
        </w:rPr>
      </w:pPr>
      <w:r>
        <w:rPr>
          <w:rFonts w:hint="eastAsia"/>
        </w:rPr>
        <w:t>强化涉政府机构失信案件协调处理，督促相关政府机构和事业单位按期履行义务，确保全市政府机构失信案件动态清零。构建多部门联动的政府失信预防处置长效机制，实现实时预警、及时干预、按时整改，</w:t>
      </w:r>
    </w:p>
    <w:bookmarkEnd w:id="510"/>
    <w:bookmarkEnd w:id="511"/>
    <w:bookmarkEnd w:id="512"/>
    <w:bookmarkEnd w:id="513"/>
    <w:bookmarkEnd w:id="514"/>
    <w:bookmarkEnd w:id="515"/>
    <w:bookmarkEnd w:id="516"/>
    <w:p>
      <w:pPr>
        <w:ind w:firstLine="632" w:firstLineChars="200"/>
        <w:outlineLvl w:val="0"/>
        <w:rPr>
          <w:rFonts w:hint="eastAsia" w:ascii="楷体_GB2312" w:eastAsia="楷体_GB2312"/>
        </w:rPr>
      </w:pPr>
      <w:bookmarkStart w:id="541" w:name="_Toc8020"/>
      <w:bookmarkStart w:id="542" w:name="_Toc3267"/>
      <w:bookmarkStart w:id="543" w:name="_Toc2200"/>
      <w:bookmarkStart w:id="544" w:name="_Toc5072"/>
      <w:bookmarkStart w:id="545" w:name="_Toc6149"/>
      <w:bookmarkStart w:id="546" w:name="_Toc1163393318"/>
      <w:bookmarkStart w:id="547" w:name="_Toc296244207"/>
      <w:bookmarkStart w:id="548" w:name="_Toc1493398396"/>
      <w:bookmarkStart w:id="549" w:name="_Toc2462"/>
      <w:bookmarkStart w:id="550" w:name="_Toc62895573"/>
      <w:bookmarkStart w:id="551" w:name="_Toc1239704160"/>
      <w:bookmarkStart w:id="552" w:name="_Toc11865"/>
      <w:bookmarkStart w:id="553" w:name="_Toc20210"/>
      <w:bookmarkStart w:id="554" w:name="_Toc31443"/>
      <w:bookmarkStart w:id="555" w:name="_Toc1795556652"/>
      <w:bookmarkStart w:id="556" w:name="_Toc95728758"/>
      <w:bookmarkStart w:id="557" w:name="_Toc653963771"/>
      <w:bookmarkStart w:id="558" w:name="_Toc1970269979"/>
      <w:bookmarkStart w:id="559" w:name="_Toc1129303044"/>
      <w:bookmarkStart w:id="560" w:name="_Toc1675164945"/>
      <w:bookmarkStart w:id="561" w:name="_Toc13905143"/>
      <w:bookmarkStart w:id="562" w:name="_Toc1126582263"/>
      <w:bookmarkStart w:id="563" w:name="_Toc126322671"/>
      <w:bookmarkStart w:id="564" w:name="_Toc21273884"/>
      <w:bookmarkStart w:id="565" w:name="_Toc1666905724"/>
      <w:bookmarkStart w:id="566" w:name="_Toc1968"/>
      <w:bookmarkStart w:id="567" w:name="_Toc17060"/>
      <w:bookmarkStart w:id="568" w:name="_Toc21663"/>
      <w:bookmarkStart w:id="569" w:name="_Toc95742005"/>
      <w:bookmarkStart w:id="570" w:name="_Toc874175117"/>
      <w:r>
        <w:rPr>
          <w:rFonts w:hint="eastAsia" w:ascii="楷体_GB2312" w:eastAsia="楷体_GB2312"/>
        </w:rPr>
        <w:t>（四）健全新型监管机制</w:t>
      </w:r>
      <w:bookmarkEnd w:id="541"/>
      <w:bookmarkEnd w:id="542"/>
      <w:bookmarkEnd w:id="543"/>
      <w:bookmarkEnd w:id="544"/>
      <w:r>
        <w:rPr>
          <w:rFonts w:hint="eastAsia" w:ascii="楷体_GB2312" w:eastAsia="楷体_GB2312"/>
        </w:rPr>
        <w:t>。</w:t>
      </w:r>
    </w:p>
    <w:p>
      <w:pPr>
        <w:ind w:firstLine="632" w:firstLineChars="200"/>
        <w:outlineLvl w:val="0"/>
        <w:rPr>
          <w:rFonts w:hint="eastAsia"/>
        </w:rPr>
      </w:pPr>
      <w:bookmarkStart w:id="571" w:name="_Toc15981"/>
      <w:bookmarkStart w:id="572" w:name="_Toc1210"/>
      <w:bookmarkStart w:id="573" w:name="_Toc29738"/>
      <w:bookmarkStart w:id="574" w:name="_Toc18652"/>
      <w:r>
        <w:rPr>
          <w:rFonts w:hint="eastAsia"/>
        </w:rPr>
        <w:t>1．创新事前信用监管</w:t>
      </w:r>
      <w:bookmarkEnd w:id="571"/>
      <w:bookmarkEnd w:id="572"/>
      <w:bookmarkEnd w:id="573"/>
      <w:bookmarkEnd w:id="574"/>
      <w:r>
        <w:rPr>
          <w:rFonts w:hint="eastAsia"/>
        </w:rPr>
        <w:t>。</w:t>
      </w:r>
    </w:p>
    <w:p>
      <w:pPr>
        <w:ind w:firstLine="632" w:firstLineChars="200"/>
        <w:rPr>
          <w:rFonts w:hint="eastAsia"/>
        </w:rPr>
      </w:pPr>
      <w:r>
        <w:rPr>
          <w:rFonts w:hint="eastAsia"/>
          <w:bCs/>
        </w:rPr>
        <w:t>全面推行信用承诺制度。</w:t>
      </w:r>
      <w:r>
        <w:rPr>
          <w:rFonts w:hint="eastAsia"/>
        </w:rPr>
        <w:t>有序推进证明事项和涉企经营许可事项告知承诺制，在行政管理和政务服务中全面推行信用承诺制。支持市场主体作出主动型、自律型信用承诺并向社会公开。强化信用承诺履约核查反馈机制，将承诺信息和履约信息纳入信用记录，作为事中、事后监管的重要依据，形成有力的管理闭环。</w:t>
      </w:r>
    </w:p>
    <w:p>
      <w:pPr>
        <w:ind w:firstLine="632" w:firstLineChars="200"/>
        <w:rPr>
          <w:rFonts w:hint="eastAsia"/>
        </w:rPr>
      </w:pPr>
      <w:r>
        <w:rPr>
          <w:rFonts w:hint="eastAsia"/>
          <w:bCs/>
        </w:rPr>
        <w:t>开展经营者准入前诚信教育。</w:t>
      </w:r>
      <w:r>
        <w:rPr>
          <w:rFonts w:hint="eastAsia"/>
        </w:rPr>
        <w:t>充分利用各级各类政务服务窗口，在为市场主体办理注册、审批、备案等相关业务时，通过多媒体演示、展板展示、分发宣传资料等方式，广泛开展守法诚信教育，提高经营者依法诚信经营意识。</w:t>
      </w:r>
    </w:p>
    <w:p>
      <w:pPr>
        <w:ind w:firstLine="632" w:firstLineChars="200"/>
        <w:rPr>
          <w:rFonts w:hint="eastAsia"/>
        </w:rPr>
      </w:pPr>
      <w:r>
        <w:rPr>
          <w:rFonts w:hint="eastAsia"/>
          <w:bCs/>
        </w:rPr>
        <w:t>优化事前信用审查功能。</w:t>
      </w:r>
      <w:r>
        <w:rPr>
          <w:rFonts w:hint="eastAsia"/>
        </w:rPr>
        <w:t>将信用审查嵌入部门业务系统和业务办理流程，实现业务同步核查、信用智能识别、奖惩自动触发、结果实时反馈等动态协同功能，进一步强化对失信主体的约束作用，提高资源配置效率。</w:t>
      </w:r>
    </w:p>
    <w:p>
      <w:pPr>
        <w:ind w:firstLine="632" w:firstLineChars="200"/>
        <w:rPr>
          <w:rFonts w:hint="eastAsia"/>
        </w:rPr>
      </w:pPr>
      <w:r>
        <w:rPr>
          <w:rFonts w:hint="eastAsia"/>
          <w:bCs/>
        </w:rPr>
        <w:t>积极拓展信用报告应用。</w:t>
      </w:r>
      <w:r>
        <w:rPr>
          <w:rFonts w:hint="eastAsia"/>
        </w:rPr>
        <w:t>提升信用报告标准化、规范化水平，积极推动信用报告在政府采购、招标投标、行政审批、市场准入、资质审核等行政管理事项中的应用。鼓励各类市场主体在生产经营活动中更广泛、更主动地应用信用报告。</w:t>
      </w:r>
    </w:p>
    <w:p>
      <w:pPr>
        <w:ind w:firstLine="632" w:firstLineChars="200"/>
        <w:outlineLvl w:val="0"/>
        <w:rPr>
          <w:rFonts w:hint="eastAsia"/>
        </w:rPr>
      </w:pPr>
      <w:bookmarkStart w:id="575" w:name="_Toc22210"/>
      <w:bookmarkStart w:id="576" w:name="_Toc7946"/>
      <w:bookmarkStart w:id="577" w:name="_Toc4649"/>
      <w:bookmarkStart w:id="578" w:name="_Toc28812"/>
      <w:r>
        <w:rPr>
          <w:rFonts w:hint="eastAsia"/>
        </w:rPr>
        <w:t>2．加强事中信用监管</w:t>
      </w:r>
      <w:bookmarkEnd w:id="575"/>
      <w:bookmarkEnd w:id="576"/>
      <w:bookmarkEnd w:id="577"/>
      <w:bookmarkEnd w:id="578"/>
      <w:r>
        <w:rPr>
          <w:rFonts w:hint="eastAsia"/>
        </w:rPr>
        <w:t>。</w:t>
      </w:r>
    </w:p>
    <w:p>
      <w:pPr>
        <w:ind w:firstLine="632" w:firstLineChars="200"/>
        <w:rPr>
          <w:rFonts w:hint="eastAsia"/>
        </w:rPr>
      </w:pPr>
      <w:r>
        <w:rPr>
          <w:rFonts w:hint="eastAsia"/>
          <w:bCs/>
        </w:rPr>
        <w:t>全面完善市场主体信用记录和信用档案。</w:t>
      </w:r>
      <w:r>
        <w:rPr>
          <w:rFonts w:hint="eastAsia"/>
        </w:rPr>
        <w:t>在办理注册登记、资质审核、日常监管、公共服务等事项中，及时、准确、规范、完整地记录市场主体信用信息。以统一社会信用代码为基础，在部门业务系统、公共信用信息系统和国家企业信用信息公示系统建立市场主体信用档案，实现市场主体、信息类别全覆盖。</w:t>
      </w:r>
    </w:p>
    <w:p>
      <w:pPr>
        <w:ind w:firstLine="632" w:firstLineChars="200"/>
        <w:rPr>
          <w:rFonts w:hint="eastAsia"/>
        </w:rPr>
      </w:pPr>
      <w:r>
        <w:rPr>
          <w:rFonts w:hint="eastAsia"/>
          <w:bCs/>
        </w:rPr>
        <w:t>规范开展和综合运用信用评价。</w:t>
      </w:r>
      <w:r>
        <w:rPr>
          <w:rFonts w:hint="eastAsia"/>
        </w:rPr>
        <w:t>将公共信用综合评价、行业信用评价和市场信用评价结果有机结合、统筹使用，对监管对象根据信用等级高低实施差异化监管，实现监管结果信息部门间共享。实施重点领域信用监管示范工程。探索建立重点关注对象名单制度，对存在失信行为但尚未达到严重失信行为认定标准的市场主体，探索建立重点关注对象名单制度和相关管理规范。</w:t>
      </w:r>
    </w:p>
    <w:p>
      <w:pPr>
        <w:ind w:firstLine="632" w:firstLineChars="200"/>
        <w:outlineLvl w:val="0"/>
        <w:rPr>
          <w:rFonts w:hint="eastAsia"/>
        </w:rPr>
      </w:pPr>
      <w:bookmarkStart w:id="579" w:name="_Toc2848"/>
      <w:bookmarkStart w:id="580" w:name="_Toc17225"/>
      <w:bookmarkStart w:id="581" w:name="_Toc14272"/>
      <w:bookmarkStart w:id="582" w:name="_Toc27721"/>
      <w:r>
        <w:rPr>
          <w:rFonts w:hint="eastAsia"/>
        </w:rPr>
        <w:t>3．完善事后信用监管</w:t>
      </w:r>
      <w:bookmarkEnd w:id="579"/>
      <w:bookmarkEnd w:id="580"/>
      <w:bookmarkEnd w:id="581"/>
      <w:bookmarkEnd w:id="582"/>
      <w:r>
        <w:rPr>
          <w:rFonts w:hint="eastAsia"/>
        </w:rPr>
        <w:t>。</w:t>
      </w:r>
    </w:p>
    <w:p>
      <w:pPr>
        <w:ind w:firstLine="632" w:firstLineChars="200"/>
        <w:rPr>
          <w:rFonts w:hint="eastAsia"/>
        </w:rPr>
      </w:pPr>
      <w:r>
        <w:rPr>
          <w:rFonts w:hint="eastAsia"/>
          <w:bCs/>
        </w:rPr>
        <w:t>依法依规开展失信惩戒。</w:t>
      </w:r>
      <w:r>
        <w:rPr>
          <w:rFonts w:hint="eastAsia"/>
        </w:rPr>
        <w:t>进一步规范和健全失信行为认定、记录、归集、共享、公开和惩戒等机制，严格限定严重失信主体名单设列领域范围、认定标准和认定程序。对重点关注对象名单实行动态管理，跨部门、跨领域按需实时共享信息，开展协同监管，实施与其失信程度相对应的监管措施。实行失信惩戒措施清单管理，按照失信行为发生的领域、情节轻重、影响程度等因素，依法依规分别实施不同类型、不同力度的惩戒措施，确保过惩相当。</w:t>
      </w:r>
    </w:p>
    <w:p>
      <w:pPr>
        <w:ind w:firstLine="632" w:firstLineChars="200"/>
        <w:rPr>
          <w:rFonts w:hint="eastAsia"/>
        </w:rPr>
      </w:pPr>
      <w:r>
        <w:rPr>
          <w:rFonts w:hint="eastAsia"/>
          <w:bCs/>
        </w:rPr>
        <w:t>持续完善信用修复机制。</w:t>
      </w:r>
      <w:r>
        <w:rPr>
          <w:rFonts w:hint="eastAsia"/>
        </w:rPr>
        <w:t>完善信用修复流程，定期举办公益性信用修复培训，提高信用修复效率和质量。探索推动部门协同修复，统一信用修复受理和公示标准。建立行政处罚信息信用修复主动告知机制，引导信用主体关注自身信用、纠正失信行为、消除不良影响、重塑良好信用。</w:t>
      </w:r>
    </w:p>
    <w:p>
      <w:pPr>
        <w:ind w:firstLine="632" w:firstLineChars="200"/>
        <w:outlineLvl w:val="0"/>
        <w:rPr>
          <w:rFonts w:hint="eastAsia"/>
        </w:rPr>
      </w:pPr>
      <w:bookmarkStart w:id="583" w:name="_Toc5237"/>
      <w:bookmarkStart w:id="584" w:name="_Toc11733"/>
      <w:bookmarkStart w:id="585" w:name="_Toc6984"/>
      <w:bookmarkStart w:id="586" w:name="_Toc15178"/>
      <w:r>
        <w:rPr>
          <w:rFonts w:hint="eastAsia"/>
        </w:rPr>
        <w:t>4．构建协同监管机制</w:t>
      </w:r>
      <w:bookmarkEnd w:id="583"/>
      <w:bookmarkEnd w:id="584"/>
      <w:bookmarkEnd w:id="585"/>
      <w:bookmarkEnd w:id="586"/>
      <w:r>
        <w:rPr>
          <w:rFonts w:hint="eastAsia"/>
        </w:rPr>
        <w:t>。</w:t>
      </w:r>
    </w:p>
    <w:p>
      <w:pPr>
        <w:ind w:firstLine="632" w:firstLineChars="200"/>
        <w:rPr>
          <w:rFonts w:hint="eastAsia"/>
        </w:rPr>
      </w:pPr>
      <w:r>
        <w:rPr>
          <w:rFonts w:hint="eastAsia"/>
        </w:rPr>
        <w:t>依托公共信用信息系统和“互联网+监管”系统，建立跨地区、跨部门信用协同监管机制，有效整合公共信用信息、市场信用信息等，实现信用监管数据共享、结果互认、协同处理。支持行业协会商会建立会员信用记录，将诚信作为行规行约重要内容，增强会员企业诚信意识。</w:t>
      </w:r>
    </w:p>
    <w:tbl>
      <w:tblPr>
        <w:tblStyle w:val="15"/>
        <w:tblW w:w="883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8833"/>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833" w:type="dxa"/>
          </w:tcPr>
          <w:p>
            <w:pPr>
              <w:jc w:val="center"/>
              <w:rPr>
                <w:rFonts w:hint="eastAsia" w:ascii="黑体" w:hAnsi="黑体" w:eastAsia="黑体"/>
                <w:sz w:val="28"/>
                <w:szCs w:val="28"/>
              </w:rPr>
            </w:pPr>
            <w:r>
              <w:rPr>
                <w:rFonts w:hint="eastAsia" w:ascii="黑体" w:hAnsi="黑体" w:eastAsia="黑体"/>
                <w:sz w:val="28"/>
                <w:szCs w:val="28"/>
              </w:rPr>
              <w:t>专栏2：区域信用合作提升工程</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833" w:type="dxa"/>
          </w:tcPr>
          <w:p>
            <w:pPr>
              <w:ind w:firstLine="552" w:firstLineChars="200"/>
              <w:rPr>
                <w:rFonts w:hint="eastAsia"/>
                <w:sz w:val="28"/>
                <w:szCs w:val="28"/>
              </w:rPr>
            </w:pPr>
            <w:r>
              <w:rPr>
                <w:rFonts w:hint="eastAsia"/>
                <w:sz w:val="28"/>
                <w:szCs w:val="28"/>
              </w:rPr>
              <w:t>深化长三角一体化发展示范区信用合作，共同推进跨区域公共信用数据共享交换、信用特色创新应用。深度参与“长三角征信链”试点工作，助力优化区域信用环境。推动长三角信用产业共建、共享，在医疗卫生、食品药品、城市管理等领域实行跨区域信用监管联动。强化苏锡常信用一体化协同，探索建立以守信联合激励为核心的城市信用合作机制，为区域经济社会健康发展提供良好的信用环境。</w:t>
            </w:r>
          </w:p>
        </w:tc>
      </w:tr>
    </w:tbl>
    <w:p>
      <w:pPr>
        <w:ind w:firstLine="632" w:firstLineChars="200"/>
        <w:outlineLvl w:val="0"/>
        <w:rPr>
          <w:rFonts w:hint="eastAsia" w:ascii="楷体_GB2312" w:eastAsia="楷体_GB2312"/>
        </w:rPr>
      </w:pPr>
      <w:bookmarkStart w:id="587" w:name="_Toc24058"/>
      <w:bookmarkStart w:id="588" w:name="_Toc13277"/>
      <w:bookmarkStart w:id="589" w:name="_Toc30390"/>
      <w:bookmarkStart w:id="590" w:name="_Toc10583"/>
      <w:r>
        <w:rPr>
          <w:rFonts w:hint="eastAsia" w:ascii="楷体_GB2312" w:eastAsia="楷体_GB2312"/>
        </w:rPr>
        <w:t>（五）推进重点领域信用建设</w:t>
      </w:r>
      <w:bookmarkEnd w:id="587"/>
      <w:bookmarkEnd w:id="588"/>
      <w:bookmarkEnd w:id="589"/>
      <w:bookmarkEnd w:id="590"/>
      <w:r>
        <w:rPr>
          <w:rFonts w:hint="eastAsia" w:ascii="楷体_GB2312" w:eastAsia="楷体_GB2312"/>
        </w:rPr>
        <w:t>。</w:t>
      </w:r>
    </w:p>
    <w:p>
      <w:pPr>
        <w:ind w:firstLine="632" w:firstLineChars="200"/>
        <w:rPr>
          <w:rFonts w:hint="eastAsia"/>
        </w:rPr>
      </w:pPr>
      <w:r>
        <w:rPr>
          <w:rFonts w:hint="eastAsia"/>
        </w:rPr>
        <w:t>推进信用理念、信用制度、信用手段与经济发展、公共服务、生态建设等经济社会运行重点环节深度融合，充分发挥信用在创新监管机制、提高监管能力和水平方面的基础性作用，形成良好的信用生态环境。</w:t>
      </w:r>
    </w:p>
    <w:p>
      <w:pPr>
        <w:ind w:firstLine="632" w:firstLineChars="200"/>
        <w:outlineLvl w:val="0"/>
        <w:rPr>
          <w:rFonts w:hint="eastAsia"/>
        </w:rPr>
      </w:pPr>
      <w:bookmarkStart w:id="591" w:name="_Toc14360"/>
      <w:bookmarkStart w:id="592" w:name="_Toc29353"/>
      <w:bookmarkStart w:id="593" w:name="_Toc14655"/>
      <w:bookmarkStart w:id="594" w:name="_Toc29729"/>
      <w:r>
        <w:rPr>
          <w:rFonts w:hint="eastAsia"/>
        </w:rPr>
        <w:t>1．消费领域</w:t>
      </w:r>
      <w:bookmarkEnd w:id="591"/>
      <w:bookmarkEnd w:id="592"/>
      <w:bookmarkEnd w:id="593"/>
      <w:bookmarkEnd w:id="594"/>
      <w:r>
        <w:rPr>
          <w:rFonts w:hint="eastAsia"/>
        </w:rPr>
        <w:t>。</w:t>
      </w:r>
    </w:p>
    <w:p>
      <w:pPr>
        <w:ind w:firstLine="632" w:firstLineChars="200"/>
        <w:rPr>
          <w:rFonts w:hint="eastAsia"/>
        </w:rPr>
      </w:pPr>
      <w:r>
        <w:rPr>
          <w:rFonts w:hint="eastAsia"/>
        </w:rPr>
        <w:t>围绕建设国际消费中心城市目标，强化消费市场监管和消费者权益保护。加快消费信用体系建设，推进信用分级分类监管，组织开展诚信计量示范活动，依法依规实施失信惩戒。健全重要消费品质量追溯体系，完善消费领域信用信息归集和共享共用机制，为消费者提供信用信息查询和消费风险提示服务。释放医疗、养老、旅游、购物等领域消费潜力，扩大信用消费规模。建立健全消费者信息保护制度，畅通消费者诉求渠道，切实保护消费者合法权益。加大对销售假冒伪劣商品、虚假宣传、低价倾销、价格欺诈等违法失信行为的打击力度，严格规范平台经营者自主定价，促进消费市场持续健康向好发展。</w:t>
      </w:r>
    </w:p>
    <w:tbl>
      <w:tblPr>
        <w:tblStyle w:val="15"/>
        <w:tblW w:w="8851"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8851"/>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851" w:type="dxa"/>
          </w:tcPr>
          <w:p>
            <w:pPr>
              <w:jc w:val="center"/>
              <w:rPr>
                <w:rFonts w:hint="eastAsia" w:ascii="黑体" w:hAnsi="黑体" w:eastAsia="黑体"/>
                <w:sz w:val="28"/>
                <w:szCs w:val="28"/>
              </w:rPr>
            </w:pPr>
            <w:r>
              <w:rPr>
                <w:rFonts w:hint="eastAsia" w:ascii="黑体" w:hAnsi="黑体" w:eastAsia="黑体"/>
                <w:sz w:val="28"/>
                <w:szCs w:val="28"/>
              </w:rPr>
              <w:t>专栏3：信用消费环境提升工程</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PrEx>
        <w:trPr>
          <w:jc w:val="center"/>
        </w:trPr>
        <w:tc>
          <w:tcPr>
            <w:tcW w:w="8851" w:type="dxa"/>
          </w:tcPr>
          <w:p>
            <w:pPr>
              <w:ind w:firstLine="552" w:firstLineChars="200"/>
              <w:rPr>
                <w:rFonts w:hint="eastAsia"/>
                <w:sz w:val="28"/>
                <w:szCs w:val="28"/>
              </w:rPr>
            </w:pPr>
            <w:r>
              <w:rPr>
                <w:rFonts w:hint="eastAsia"/>
                <w:sz w:val="28"/>
                <w:szCs w:val="28"/>
              </w:rPr>
              <w:t>强化信用手段在“吴优金”线下购物无理由退货服务中的应用，不断优化消费环境。推广以无理由退货信用承诺为基础、以经营主体信用监管为支撑的“吴优金”诚信经营模式。开展“吴优金”守信激励应用，对主动作出承诺并依诺履行的经营主体在公共服务、行政管理、评优评先等方面提供惠利措施。加强预付式消费信用监管，试点推进预付费服务无理由退货，对预付费商家实施动态信用评价，及时预警信用风险信息，减少消费者损失。</w:t>
            </w:r>
          </w:p>
        </w:tc>
      </w:tr>
    </w:tbl>
    <w:p>
      <w:pPr>
        <w:ind w:firstLine="632" w:firstLineChars="200"/>
        <w:outlineLvl w:val="0"/>
        <w:rPr>
          <w:rFonts w:hint="eastAsia"/>
        </w:rPr>
      </w:pPr>
      <w:bookmarkStart w:id="595" w:name="_Toc17954"/>
      <w:bookmarkStart w:id="596" w:name="_Toc22597"/>
      <w:bookmarkStart w:id="597" w:name="_Toc12395"/>
      <w:bookmarkStart w:id="598" w:name="_Toc15885"/>
      <w:bookmarkStart w:id="599" w:name="_Toc12059"/>
      <w:bookmarkStart w:id="600" w:name="_Toc7579"/>
      <w:bookmarkStart w:id="601" w:name="_Toc8021"/>
      <w:bookmarkStart w:id="602" w:name="_Toc13402"/>
      <w:r>
        <w:rPr>
          <w:rFonts w:hint="eastAsia"/>
        </w:rPr>
        <w:t>2．医疗卫生领域</w:t>
      </w:r>
      <w:bookmarkEnd w:id="595"/>
      <w:bookmarkEnd w:id="596"/>
      <w:bookmarkEnd w:id="597"/>
      <w:bookmarkEnd w:id="598"/>
      <w:r>
        <w:rPr>
          <w:rFonts w:hint="eastAsia"/>
        </w:rPr>
        <w:t>。</w:t>
      </w:r>
    </w:p>
    <w:p>
      <w:pPr>
        <w:ind w:firstLine="632" w:firstLineChars="200"/>
        <w:rPr>
          <w:rFonts w:hint="eastAsia"/>
        </w:rPr>
      </w:pPr>
      <w:r>
        <w:rPr>
          <w:rFonts w:hint="eastAsia"/>
        </w:rPr>
        <w:t>升级完善苏州市诚信医保信用评级平台，建立医疗保障信用信息记录、归集和应用机制。健全医疗保障基金监管制度体系，创新基金监管执法机制，强化行政部门、经办机构的监管协作，形成全方位监管格局。加强医疗机构信用管理和行业诚信建设，推广信用承诺制，落实医疗机构信用等级评价和不良执业行为记分管理，探索信用评价结果在医保政策制定、基金监管等方面的应用。强化医务人员诚信服务意识和社会责任意识，建立执业医师、药师、护士等人员信用档案和信用评价制度。综合运用信用提醒、信用约谈、依法执业信用报告、失信行为通报公示等手段，规范医疗机构、医务人员执业行为。</w:t>
      </w:r>
    </w:p>
    <w:p>
      <w:pPr>
        <w:ind w:firstLine="632" w:firstLineChars="200"/>
        <w:outlineLvl w:val="0"/>
        <w:rPr>
          <w:rFonts w:hint="eastAsia"/>
        </w:rPr>
      </w:pPr>
      <w:r>
        <w:rPr>
          <w:rFonts w:hint="eastAsia"/>
        </w:rPr>
        <w:t>3．工程建设领域</w:t>
      </w:r>
      <w:bookmarkEnd w:id="599"/>
      <w:bookmarkEnd w:id="600"/>
      <w:bookmarkEnd w:id="601"/>
      <w:bookmarkEnd w:id="602"/>
      <w:r>
        <w:rPr>
          <w:rFonts w:hint="eastAsia"/>
        </w:rPr>
        <w:t>。</w:t>
      </w:r>
    </w:p>
    <w:p>
      <w:pPr>
        <w:ind w:firstLine="632" w:firstLineChars="200"/>
        <w:rPr>
          <w:rFonts w:hint="eastAsia"/>
        </w:rPr>
      </w:pPr>
      <w:r>
        <w:rPr>
          <w:rFonts w:hint="eastAsia"/>
        </w:rPr>
        <w:t>强化工程建设领域跨部门协同监管，重点实施土地市场信用监管联动，在系统注册、成交、供地等多个环节对土地竞买人开展全面信用审查，限制严重失信主体参加国有建设用地使用权挂牌竞价出让活动。推进建筑领域、房地产市场、物业服务和住房保障领域市场主体信用评价工作，探索信用评价结果在中介服务、招标投标、项目申请等活动中应用。开展建设领域失信问题专项整治，严厉打击恶意竞标、强揽工程等违法犯罪行为和行业乱象，规范建筑市场秩序。</w:t>
      </w:r>
    </w:p>
    <w:p>
      <w:pPr>
        <w:ind w:firstLine="632" w:firstLineChars="200"/>
        <w:outlineLvl w:val="0"/>
        <w:rPr>
          <w:rFonts w:hint="eastAsia"/>
        </w:rPr>
      </w:pPr>
      <w:bookmarkStart w:id="603" w:name="_Toc17431"/>
      <w:bookmarkStart w:id="604" w:name="_Toc1429"/>
      <w:bookmarkStart w:id="605" w:name="_Toc15772"/>
      <w:bookmarkStart w:id="606" w:name="_Toc1594"/>
      <w:r>
        <w:rPr>
          <w:rFonts w:hint="eastAsia"/>
        </w:rPr>
        <w:t>4．劳动用工领域</w:t>
      </w:r>
      <w:bookmarkEnd w:id="603"/>
      <w:bookmarkEnd w:id="604"/>
      <w:bookmarkEnd w:id="605"/>
      <w:bookmarkEnd w:id="606"/>
      <w:r>
        <w:rPr>
          <w:rFonts w:hint="eastAsia"/>
        </w:rPr>
        <w:t>。</w:t>
      </w:r>
    </w:p>
    <w:p>
      <w:pPr>
        <w:ind w:firstLine="632" w:firstLineChars="200"/>
        <w:rPr>
          <w:rFonts w:hint="eastAsia"/>
        </w:rPr>
      </w:pPr>
      <w:r>
        <w:rPr>
          <w:rFonts w:hint="eastAsia"/>
        </w:rPr>
        <w:t>研究制定劳动用工领域地方信用标准，健全用人单位、人力资源服务机构、劳务派遣单位信用等级评价和分级分类管理机制。加大劳动关系和谐企业培育力度，树立劳动用工领域诚信典型，丰富正向激励场景，引导企业依法规范用工。加大对侵犯职工劳动权益行为的惩戒力度，严厉打击用人单位恶意欠薪、非法用工等失信行为。强化信用手段在保障农民工工资支付中的运用，实现对农民工工资发放的实时动态监管，依法惩戒拖欠农民工工资等失信行为，维护农民工合法权益。</w:t>
      </w:r>
    </w:p>
    <w:p>
      <w:pPr>
        <w:ind w:firstLine="632" w:firstLineChars="200"/>
        <w:outlineLvl w:val="0"/>
        <w:rPr>
          <w:rFonts w:hint="eastAsia"/>
        </w:rPr>
      </w:pPr>
      <w:bookmarkStart w:id="607" w:name="_Toc30935"/>
      <w:bookmarkStart w:id="608" w:name="_Toc4131"/>
      <w:bookmarkStart w:id="609" w:name="_Toc2964"/>
      <w:bookmarkStart w:id="610" w:name="_Toc21103"/>
      <w:bookmarkStart w:id="611" w:name="_Toc6038"/>
      <w:bookmarkStart w:id="612" w:name="_Toc15669"/>
      <w:bookmarkStart w:id="613" w:name="_Toc6588"/>
      <w:bookmarkStart w:id="614" w:name="_Toc11118"/>
      <w:r>
        <w:rPr>
          <w:rFonts w:hint="eastAsia"/>
        </w:rPr>
        <w:t>5．科研和知识产权领域</w:t>
      </w:r>
      <w:bookmarkEnd w:id="607"/>
      <w:bookmarkEnd w:id="608"/>
      <w:bookmarkEnd w:id="609"/>
      <w:bookmarkEnd w:id="610"/>
      <w:r>
        <w:rPr>
          <w:rFonts w:hint="eastAsia"/>
        </w:rPr>
        <w:t>。</w:t>
      </w:r>
    </w:p>
    <w:p>
      <w:pPr>
        <w:ind w:firstLine="632" w:firstLineChars="200"/>
        <w:rPr>
          <w:rFonts w:hint="eastAsia"/>
        </w:rPr>
      </w:pPr>
      <w:r>
        <w:rPr>
          <w:rFonts w:hint="eastAsia"/>
        </w:rPr>
        <w:t>实行科研信用承诺制度，加强对科研活动全过程的诚信审核。深化科研评价制度改革，建立科技项目分类评价制度和信用分级分类监管机制，依法查处学术造假、骗取或违规使用科研经费等违背科研诚信要求的行为。加强知识产权诚信体系建设，建立市场主体知识产权信用记录。探索开展知识产权领域信用评价，推动评价结果在企业融资授信、专利申请资助、示范和优势企业认定等方面应用。加大对商标抢注、非正常专利申请等违法失信行为的惩戒力度。加强知识产权服务业信用管理，建立代理机构和代理人诚信档案。</w:t>
      </w:r>
    </w:p>
    <w:p>
      <w:pPr>
        <w:ind w:firstLine="632" w:firstLineChars="200"/>
        <w:outlineLvl w:val="0"/>
        <w:rPr>
          <w:rFonts w:hint="eastAsia"/>
        </w:rPr>
      </w:pPr>
      <w:r>
        <w:rPr>
          <w:rFonts w:hint="eastAsia"/>
        </w:rPr>
        <w:t>6．生态环保领域</w:t>
      </w:r>
      <w:bookmarkEnd w:id="611"/>
      <w:bookmarkEnd w:id="612"/>
      <w:bookmarkEnd w:id="613"/>
      <w:bookmarkEnd w:id="614"/>
      <w:r>
        <w:rPr>
          <w:rFonts w:hint="eastAsia"/>
        </w:rPr>
        <w:t>。</w:t>
      </w:r>
    </w:p>
    <w:p>
      <w:pPr>
        <w:ind w:firstLine="632" w:firstLineChars="200"/>
        <w:rPr>
          <w:rFonts w:hint="eastAsia"/>
        </w:rPr>
      </w:pPr>
      <w:r>
        <w:rPr>
          <w:rFonts w:hint="eastAsia"/>
        </w:rPr>
        <w:t>持续完善生态环保领域信用监管制度，加快推进生态环境治理体系和治理能力现代化。健全环保信用信息归集共享机制，完善企业环境信用记录。推动企事业单位作出环保信用承诺，构建监管闭环。扩大环保信用评价覆盖范围，强化评价结果应用，对环保信用好的企事业单位落实信任保护原则，对环保失信企事业单位依法实施惩戒。推进环保信用分级分类监管，丰富资源差别化配置手段，落实水、电差别化价格政策，探索用气、用地、排污、绿色信贷等资源的差别化配置。</w:t>
      </w:r>
    </w:p>
    <w:p>
      <w:pPr>
        <w:ind w:firstLine="632" w:firstLineChars="200"/>
        <w:rPr>
          <w:rFonts w:hint="eastAsia"/>
          <w:bCs/>
        </w:rPr>
      </w:pPr>
      <w:r>
        <w:rPr>
          <w:rFonts w:hint="eastAsia"/>
        </w:rPr>
        <w:t>7．</w:t>
      </w:r>
      <w:r>
        <w:rPr>
          <w:rFonts w:hint="eastAsia"/>
          <w:bCs/>
        </w:rPr>
        <w:t>园区信用示范建设。</w:t>
      </w:r>
    </w:p>
    <w:p>
      <w:pPr>
        <w:ind w:firstLine="632" w:firstLineChars="200"/>
        <w:rPr>
          <w:rFonts w:hint="eastAsia"/>
        </w:rPr>
      </w:pPr>
      <w:r>
        <w:rPr>
          <w:rFonts w:hint="eastAsia"/>
          <w:bCs/>
        </w:rPr>
        <w:t>推动有条件的园区选取一个或多个方面开展示范建设。苏州工业园区打造信用赋能企业发展先行区，</w:t>
      </w:r>
      <w:r>
        <w:rPr>
          <w:rFonts w:hint="eastAsia"/>
        </w:rPr>
        <w:t>以支撑信用应用为目标，打造信用数据标准化、数字化、智能化归集应用示范区；以提高监管能力和水平为重点，打造以信用为基础的新型监管机制样板区；以助力普惠金融发展为核心，打造信用信息助力中小微企业融资发展试点区；以构筑信用经济新生态为主线，打造信用消费示范体验区。苏州高新区以企业信用信息为基础，以大数据为依托，以政策性担保为支撑，建立“信用+金融+产业”生态体系，全面提升信用产业自身发展水平和服务实体经济能力，打造全国一流信用服务数字经济创新高地。</w:t>
      </w:r>
    </w:p>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Pr>
        <w:ind w:firstLine="632" w:firstLineChars="200"/>
        <w:outlineLvl w:val="0"/>
        <w:rPr>
          <w:rFonts w:hint="eastAsia" w:ascii="楷体_GB2312" w:eastAsia="楷体_GB2312"/>
        </w:rPr>
      </w:pPr>
      <w:bookmarkStart w:id="615" w:name="_Toc5897"/>
      <w:bookmarkStart w:id="616" w:name="_Toc18030"/>
      <w:bookmarkStart w:id="617" w:name="_Toc9376"/>
      <w:bookmarkStart w:id="618" w:name="_Toc12757"/>
      <w:bookmarkStart w:id="619" w:name="_Toc16502"/>
      <w:bookmarkStart w:id="620" w:name="_Toc79574519"/>
      <w:bookmarkStart w:id="621" w:name="_Toc978421681"/>
      <w:bookmarkStart w:id="622" w:name="_Toc1362907810"/>
      <w:bookmarkStart w:id="623" w:name="_Toc1970330610"/>
      <w:bookmarkStart w:id="624" w:name="_Toc75156572"/>
      <w:bookmarkStart w:id="625" w:name="_Toc642542228"/>
      <w:bookmarkStart w:id="626" w:name="_Toc1840663484"/>
      <w:bookmarkStart w:id="627" w:name="_Toc95742023"/>
      <w:bookmarkStart w:id="628" w:name="_Toc83289958"/>
      <w:bookmarkStart w:id="629" w:name="_Toc16130"/>
      <w:bookmarkStart w:id="630" w:name="_Toc8249"/>
      <w:bookmarkStart w:id="631" w:name="_Toc320276696"/>
      <w:bookmarkStart w:id="632" w:name="_Toc40331079"/>
      <w:bookmarkStart w:id="633" w:name="_Toc2126727325"/>
      <w:bookmarkStart w:id="634" w:name="_Toc1514349308"/>
      <w:bookmarkStart w:id="635" w:name="_Toc3476"/>
      <w:bookmarkStart w:id="636" w:name="_Toc4061"/>
      <w:bookmarkStart w:id="637" w:name="_Toc1213667156"/>
      <w:bookmarkStart w:id="638" w:name="_Toc454622897"/>
      <w:bookmarkStart w:id="639" w:name="_Toc15598"/>
      <w:bookmarkStart w:id="640" w:name="_Toc28175"/>
      <w:bookmarkStart w:id="641" w:name="_Toc95728776"/>
      <w:bookmarkStart w:id="642" w:name="_Toc1795930618"/>
      <w:bookmarkStart w:id="643" w:name="_Toc19126"/>
      <w:bookmarkStart w:id="644" w:name="_Toc3465"/>
      <w:bookmarkStart w:id="645" w:name="_Toc805053762"/>
      <w:bookmarkStart w:id="646" w:name="_Toc20879"/>
      <w:bookmarkStart w:id="647" w:name="_Toc302815307"/>
      <w:bookmarkStart w:id="648" w:name="_Toc1219423579"/>
      <w:bookmarkStart w:id="649" w:name="_Toc2121239917"/>
      <w:bookmarkStart w:id="650" w:name="_Toc27000"/>
      <w:r>
        <w:rPr>
          <w:rFonts w:hint="eastAsia" w:ascii="楷体_GB2312" w:eastAsia="楷体_GB2312"/>
        </w:rPr>
        <w:t>（六）推进信用惠民便企</w:t>
      </w:r>
      <w:bookmarkEnd w:id="615"/>
      <w:bookmarkEnd w:id="616"/>
      <w:bookmarkEnd w:id="617"/>
      <w:bookmarkEnd w:id="618"/>
      <w:r>
        <w:rPr>
          <w:rFonts w:hint="eastAsia" w:ascii="楷体_GB2312" w:eastAsia="楷体_GB2312"/>
        </w:rPr>
        <w:t>。</w:t>
      </w:r>
    </w:p>
    <w:p>
      <w:pPr>
        <w:ind w:firstLine="632" w:firstLineChars="200"/>
        <w:outlineLvl w:val="0"/>
        <w:rPr>
          <w:rFonts w:hint="eastAsia"/>
        </w:rPr>
      </w:pPr>
      <w:bookmarkStart w:id="651" w:name="_Toc6187"/>
      <w:bookmarkStart w:id="652" w:name="_Toc15085"/>
      <w:bookmarkStart w:id="653" w:name="_Toc5048"/>
      <w:bookmarkStart w:id="654" w:name="_Toc2017"/>
      <w:r>
        <w:rPr>
          <w:rFonts w:hint="eastAsia"/>
        </w:rPr>
        <w:t>1</w:t>
      </w:r>
      <w:bookmarkEnd w:id="651"/>
      <w:bookmarkEnd w:id="652"/>
      <w:bookmarkEnd w:id="653"/>
      <w:bookmarkEnd w:id="654"/>
      <w:r>
        <w:rPr>
          <w:rFonts w:hint="eastAsia"/>
        </w:rPr>
        <w:t>．持续完善个人积分管理模式。</w:t>
      </w:r>
    </w:p>
    <w:p>
      <w:pPr>
        <w:ind w:firstLine="632" w:firstLineChars="200"/>
        <w:rPr>
          <w:rFonts w:hint="eastAsia"/>
        </w:rPr>
      </w:pPr>
      <w:r>
        <w:rPr>
          <w:rFonts w:hint="eastAsia"/>
        </w:rPr>
        <w:t>进一步完善个人信用数据库，提高个人信用信息归集质效。规范信用信息采集流程，完善信息查询和使用机制，保障个人信息安全。优化个人积分评价模型，丰富评价指标维度，不断拓展个人积分应用场景，提升守信获得感。加强重点职业人群信用建设，完善个人信用档案，探索开展行业内评价和应用。</w:t>
      </w:r>
    </w:p>
    <w:tbl>
      <w:tblPr>
        <w:tblStyle w:val="15"/>
        <w:tblW w:w="884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8845"/>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894" w:type="dxa"/>
            <w:shd w:val="clear" w:color="auto" w:fill="auto"/>
          </w:tcPr>
          <w:p>
            <w:pPr>
              <w:jc w:val="center"/>
              <w:rPr>
                <w:rFonts w:hint="eastAsia" w:ascii="黑体" w:hAnsi="黑体" w:eastAsia="黑体"/>
                <w:sz w:val="28"/>
                <w:szCs w:val="28"/>
              </w:rPr>
            </w:pPr>
            <w:r>
              <w:rPr>
                <w:rFonts w:hint="eastAsia" w:ascii="黑体" w:hAnsi="黑体" w:eastAsia="黑体"/>
                <w:sz w:val="28"/>
                <w:szCs w:val="28"/>
              </w:rPr>
              <w:t>专栏4：个人信用“桂花分”提升工程</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PrEx>
        <w:trPr>
          <w:jc w:val="center"/>
        </w:trPr>
        <w:tc>
          <w:tcPr>
            <w:tcW w:w="8894" w:type="dxa"/>
            <w:shd w:val="clear" w:color="auto" w:fill="auto"/>
          </w:tcPr>
          <w:p>
            <w:pPr>
              <w:spacing w:line="570" w:lineRule="exact"/>
              <w:ind w:firstLine="552" w:firstLineChars="200"/>
              <w:rPr>
                <w:rFonts w:hint="eastAsia"/>
                <w:sz w:val="28"/>
                <w:szCs w:val="28"/>
              </w:rPr>
            </w:pPr>
            <w:r>
              <w:rPr>
                <w:rFonts w:hint="eastAsia"/>
                <w:sz w:val="28"/>
                <w:szCs w:val="28"/>
              </w:rPr>
              <w:t>引导个人补充完善自主申报信息，提升桂花分分值。在政务服务、公共服务、社会生活中提供更多免押金、免手续、免证明、免排队、免担保、降费率、降成本等便捷激励措施。探索“桂花分”与周边城市个人信用分的互认共享。</w:t>
            </w:r>
          </w:p>
        </w:tc>
      </w:t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tbl>
    <w:p>
      <w:pPr>
        <w:ind w:firstLine="632" w:firstLineChars="200"/>
        <w:outlineLvl w:val="0"/>
        <w:rPr>
          <w:rFonts w:hint="eastAsia"/>
        </w:rPr>
      </w:pPr>
      <w:bookmarkStart w:id="655" w:name="_Toc22947"/>
      <w:bookmarkStart w:id="656" w:name="_Toc21741"/>
      <w:bookmarkStart w:id="657" w:name="_Toc7687"/>
      <w:bookmarkStart w:id="658" w:name="_Toc25559"/>
      <w:bookmarkStart w:id="659" w:name="_Toc1986399370"/>
      <w:bookmarkStart w:id="660" w:name="_Toc7099"/>
      <w:bookmarkStart w:id="661" w:name="_Toc31804"/>
      <w:bookmarkStart w:id="662" w:name="_Toc95728779"/>
      <w:bookmarkStart w:id="663" w:name="_Toc28569"/>
      <w:bookmarkStart w:id="664" w:name="_Toc230925370"/>
      <w:bookmarkStart w:id="665" w:name="_Toc9940"/>
      <w:bookmarkStart w:id="666" w:name="_Toc924303392"/>
      <w:bookmarkStart w:id="667" w:name="_Toc824987252"/>
      <w:bookmarkStart w:id="668" w:name="_Toc403815369"/>
      <w:bookmarkStart w:id="669" w:name="_Toc1190688231"/>
      <w:bookmarkStart w:id="670" w:name="_Toc2292"/>
      <w:bookmarkStart w:id="671" w:name="_Toc2098923599"/>
      <w:bookmarkStart w:id="672" w:name="_Toc495991918"/>
      <w:bookmarkStart w:id="673" w:name="_Toc618"/>
      <w:bookmarkStart w:id="674" w:name="_Toc521578710"/>
      <w:bookmarkStart w:id="675" w:name="_Toc1371928844"/>
      <w:bookmarkStart w:id="676" w:name="_Toc494103231"/>
      <w:bookmarkStart w:id="677" w:name="_Toc1958778140"/>
      <w:bookmarkStart w:id="678" w:name="_Toc1730020931"/>
      <w:bookmarkStart w:id="679" w:name="_Toc348233355"/>
      <w:bookmarkStart w:id="680" w:name="_Toc1320062496"/>
      <w:bookmarkStart w:id="681" w:name="_Toc31703"/>
      <w:bookmarkStart w:id="682" w:name="_Toc95742026"/>
      <w:bookmarkStart w:id="683" w:name="_Toc52467526"/>
      <w:bookmarkStart w:id="684" w:name="_Toc8325"/>
      <w:bookmarkStart w:id="685" w:name="_Toc15575"/>
      <w:bookmarkStart w:id="686" w:name="_Toc19478"/>
      <w:bookmarkStart w:id="687" w:name="_Toc20530"/>
      <w:bookmarkStart w:id="688" w:name="_Toc12317"/>
      <w:bookmarkStart w:id="689" w:name="_Toc5998"/>
      <w:bookmarkStart w:id="690" w:name="_Toc4307"/>
      <w:r>
        <w:rPr>
          <w:rFonts w:hint="eastAsia"/>
        </w:rPr>
        <w:t>2．建立完善企业增信机制</w:t>
      </w:r>
      <w:bookmarkEnd w:id="655"/>
      <w:bookmarkEnd w:id="656"/>
      <w:bookmarkEnd w:id="657"/>
      <w:bookmarkEnd w:id="658"/>
      <w:r>
        <w:rPr>
          <w:rFonts w:hint="eastAsia"/>
        </w:rPr>
        <w:t>。</w:t>
      </w:r>
    </w:p>
    <w:p>
      <w:pPr>
        <w:ind w:firstLine="632" w:firstLineChars="200"/>
        <w:rPr>
          <w:rFonts w:hint="eastAsia"/>
        </w:rPr>
      </w:pPr>
      <w:r>
        <w:rPr>
          <w:rFonts w:hint="eastAsia"/>
        </w:rPr>
        <w:t>引导企业充分重视、积极维护自身良好信用，支持企业创建诚信品牌，传承吴地特色商业文化和工匠精神，增强社会责任感。深入推进包容审慎监管，实施以教育为主、惩戒为辅的柔性执法，引导企业自觉守法。审慎认定失信主体，指导失信企业开展信用修复，积极整改失信行为，及时消除不良影响。</w:t>
      </w:r>
    </w:p>
    <w:tbl>
      <w:tblPr>
        <w:tblStyle w:val="15"/>
        <w:tblW w:w="884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8845"/>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894" w:type="dxa"/>
            <w:shd w:val="clear" w:color="auto" w:fill="auto"/>
          </w:tcPr>
          <w:p>
            <w:pPr>
              <w:jc w:val="center"/>
              <w:rPr>
                <w:rFonts w:hint="eastAsia" w:ascii="黑体" w:hAnsi="黑体" w:eastAsia="黑体"/>
                <w:sz w:val="28"/>
                <w:szCs w:val="28"/>
              </w:rPr>
            </w:pPr>
            <w:r>
              <w:rPr>
                <w:rFonts w:hint="eastAsia" w:ascii="黑体" w:hAnsi="黑体" w:eastAsia="黑体"/>
                <w:sz w:val="28"/>
                <w:szCs w:val="28"/>
              </w:rPr>
              <w:t>专栏5：企业信用管理提升工程</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894" w:type="dxa"/>
            <w:shd w:val="clear" w:color="auto" w:fill="auto"/>
          </w:tcPr>
          <w:p>
            <w:pPr>
              <w:ind w:firstLine="552" w:firstLineChars="200"/>
              <w:rPr>
                <w:rFonts w:hint="eastAsia"/>
                <w:sz w:val="28"/>
                <w:szCs w:val="28"/>
              </w:rPr>
            </w:pPr>
            <w:r>
              <w:rPr>
                <w:rFonts w:hint="eastAsia"/>
                <w:sz w:val="28"/>
                <w:szCs w:val="28"/>
              </w:rPr>
              <w:t>引导企业建立内部信用管理体系，贯彻企业信用管理规范，将信用管理理念落实到生产经营各环节。高质量开展企业信用管理培训和示范创建工作，培育一批诚信经营、守信践诺的标杆企业。探索在政务服务、行政监管、公共资源交易和市场经济活动中，给予示范企业更多便利措施。定期开展信用管理示范企业复核，完善示范企业动态调整机制。</w:t>
            </w:r>
          </w:p>
        </w:tc>
      </w:tr>
    </w:tbl>
    <w:p>
      <w:pPr>
        <w:ind w:firstLine="632" w:firstLineChars="200"/>
        <w:outlineLvl w:val="0"/>
        <w:rPr>
          <w:rFonts w:hint="eastAsia"/>
        </w:rPr>
      </w:pPr>
      <w:bookmarkStart w:id="691" w:name="_Toc6797"/>
      <w:bookmarkStart w:id="692" w:name="_Toc30797"/>
      <w:bookmarkStart w:id="693" w:name="_Toc10647"/>
      <w:bookmarkStart w:id="694" w:name="_Toc16932"/>
      <w:r>
        <w:rPr>
          <w:rFonts w:hint="eastAsia"/>
        </w:rPr>
        <w:t>3．拓展信用惠民便企应用</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91"/>
      <w:bookmarkEnd w:id="692"/>
      <w:bookmarkEnd w:id="693"/>
      <w:bookmarkEnd w:id="694"/>
      <w:r>
        <w:rPr>
          <w:rFonts w:hint="eastAsia"/>
        </w:rPr>
        <w:t>。</w:t>
      </w:r>
    </w:p>
    <w:p>
      <w:pPr>
        <w:ind w:firstLine="632" w:firstLineChars="200"/>
        <w:rPr>
          <w:rFonts w:hint="eastAsia"/>
        </w:rPr>
      </w:pPr>
      <w:r>
        <w:rPr>
          <w:rFonts w:hint="eastAsia"/>
        </w:rPr>
        <w:t>深入推进守信激励创新行动，积极拓展“信易+”应用场景，引导行业协会商会、市场主体探索社会化、市场化激励措施。围绕企业运营重点，以“信易批”“信易贷”等为基础，探索“信用+离岸贸易”“信用+行业监管”等创新应用，提升企业获得感。聚焦民生领域，以“信易游”“信易医”等为基础，探索“信用+消费示范体验区”，打造区域示范标准。</w:t>
      </w:r>
    </w:p>
    <w:p>
      <w:pPr>
        <w:ind w:firstLine="632" w:firstLineChars="200"/>
        <w:rPr>
          <w:rFonts w:hint="eastAsia"/>
        </w:rPr>
      </w:pPr>
    </w:p>
    <w:p>
      <w:pPr>
        <w:ind w:firstLine="632" w:firstLineChars="200"/>
        <w:rPr>
          <w:rFonts w:hint="eastAsia"/>
        </w:rPr>
      </w:pPr>
    </w:p>
    <w:p>
      <w:pPr>
        <w:ind w:firstLine="632" w:firstLineChars="200"/>
        <w:rPr>
          <w:rFonts w:hint="eastAsia"/>
        </w:rPr>
      </w:pPr>
    </w:p>
    <w:tbl>
      <w:tblPr>
        <w:tblStyle w:val="15"/>
        <w:tblW w:w="884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8845"/>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904" w:type="dxa"/>
            <w:shd w:val="clear" w:color="auto" w:fill="auto"/>
          </w:tcPr>
          <w:p>
            <w:pPr>
              <w:jc w:val="center"/>
              <w:rPr>
                <w:rFonts w:hint="eastAsia" w:ascii="黑体" w:hAnsi="黑体" w:eastAsia="黑体"/>
                <w:sz w:val="28"/>
                <w:szCs w:val="28"/>
              </w:rPr>
            </w:pPr>
            <w:r>
              <w:rPr>
                <w:rFonts w:hint="eastAsia" w:ascii="黑体" w:hAnsi="黑体" w:eastAsia="黑体"/>
                <w:sz w:val="28"/>
                <w:szCs w:val="28"/>
              </w:rPr>
              <w:t>专栏6：“信易贷”服务提升工程</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8904" w:type="dxa"/>
            <w:shd w:val="clear" w:color="auto" w:fill="auto"/>
          </w:tcPr>
          <w:p>
            <w:pPr>
              <w:ind w:firstLine="552" w:firstLineChars="200"/>
              <w:rPr>
                <w:rFonts w:hint="eastAsia"/>
                <w:sz w:val="28"/>
                <w:szCs w:val="28"/>
              </w:rPr>
            </w:pPr>
            <w:r>
              <w:rPr>
                <w:rFonts w:hint="eastAsia"/>
                <w:sz w:val="28"/>
                <w:szCs w:val="28"/>
              </w:rPr>
              <w:t>优化“信易贷”服务体系，打造苏州“信易贷”特色品牌。依托市信用信息共享平台建设全国中小企业融资综合信用服务平台苏州节点，提高“信易贷”平台服务中小微企业融资支撑能力，充分发挥信用数据价值。持续扩大信用信息共享范围，逐步探索市场主体进出口、不动产、知识产权、科技研发等信息的整合归集，加强与金融信息的融合共享，建立健全直达机制，推动资金精准、高效、低成本注入实体经济。开展中小微企业信用评价，完善评价指标体系，将评价结果与金融机构共享，提高金融机构风险研判能力。在推广“征信贷”“征信保”“关助融”“政采贷”等产品的基础上，打造“高信贷”“园易融”等具有本地特色的信贷品牌。</w:t>
            </w:r>
          </w:p>
        </w:tc>
      </w:tr>
      <w:bookmarkEnd w:id="684"/>
      <w:bookmarkEnd w:id="685"/>
      <w:bookmarkEnd w:id="686"/>
      <w:bookmarkEnd w:id="687"/>
      <w:bookmarkEnd w:id="688"/>
      <w:bookmarkEnd w:id="689"/>
      <w:bookmarkEnd w:id="690"/>
    </w:tbl>
    <w:p>
      <w:pPr>
        <w:ind w:firstLine="632" w:firstLineChars="200"/>
        <w:rPr>
          <w:rFonts w:hint="eastAsia"/>
          <w:bCs/>
        </w:rPr>
      </w:pPr>
      <w:bookmarkStart w:id="695" w:name="_Toc25045"/>
      <w:bookmarkStart w:id="696" w:name="_Toc21475"/>
      <w:bookmarkStart w:id="697" w:name="_Toc3100"/>
      <w:bookmarkStart w:id="698" w:name="_Toc23486"/>
      <w:bookmarkStart w:id="699" w:name="_Toc8359"/>
      <w:bookmarkStart w:id="700" w:name="_Toc14285"/>
      <w:bookmarkStart w:id="701" w:name="_Toc27506"/>
      <w:bookmarkStart w:id="702" w:name="_Toc79574533"/>
      <w:bookmarkStart w:id="703" w:name="_Toc20015"/>
      <w:bookmarkStart w:id="704" w:name="_Toc75156581"/>
      <w:bookmarkStart w:id="705" w:name="_Toc83289973"/>
      <w:bookmarkStart w:id="706" w:name="_Toc95742030"/>
      <w:bookmarkStart w:id="707" w:name="_Toc2889"/>
      <w:bookmarkStart w:id="708" w:name="_Toc95728783"/>
      <w:bookmarkStart w:id="709" w:name="_Toc654485995"/>
      <w:bookmarkStart w:id="710" w:name="_Toc1995043130"/>
      <w:bookmarkStart w:id="711" w:name="_Toc12085282"/>
      <w:bookmarkStart w:id="712" w:name="_Toc917172759"/>
      <w:bookmarkStart w:id="713" w:name="_Toc3043"/>
      <w:bookmarkStart w:id="714" w:name="_Toc601666867"/>
      <w:bookmarkStart w:id="715" w:name="_Toc1443403309"/>
      <w:bookmarkStart w:id="716" w:name="_Toc273056721"/>
      <w:bookmarkStart w:id="717" w:name="_Toc11104"/>
      <w:bookmarkStart w:id="718" w:name="_Toc1151652286"/>
      <w:bookmarkStart w:id="719" w:name="_Toc1650257692"/>
      <w:bookmarkStart w:id="720" w:name="_Toc21"/>
      <w:bookmarkStart w:id="721" w:name="_Toc1364"/>
      <w:bookmarkStart w:id="722" w:name="_Toc862836852"/>
      <w:bookmarkStart w:id="723" w:name="_Toc218869076"/>
      <w:bookmarkStart w:id="724" w:name="_Toc489359417"/>
      <w:bookmarkStart w:id="725" w:name="_Toc1382263445"/>
      <w:bookmarkStart w:id="726" w:name="_Toc303544105"/>
      <w:bookmarkStart w:id="727" w:name="_Toc3255"/>
      <w:bookmarkStart w:id="728" w:name="_Toc1581504330"/>
      <w:bookmarkStart w:id="729" w:name="_Toc25542"/>
      <w:bookmarkStart w:id="730" w:name="_Toc115055801"/>
      <w:r>
        <w:rPr>
          <w:rFonts w:hint="eastAsia"/>
        </w:rPr>
        <w:t>4．</w:t>
      </w:r>
      <w:r>
        <w:rPr>
          <w:rFonts w:hint="eastAsia"/>
          <w:bCs/>
        </w:rPr>
        <w:t>助力产业链高质量发展。</w:t>
      </w:r>
    </w:p>
    <w:p>
      <w:pPr>
        <w:ind w:firstLine="632" w:firstLineChars="200"/>
        <w:rPr>
          <w:rFonts w:hint="eastAsia"/>
        </w:rPr>
      </w:pPr>
      <w:r>
        <w:rPr>
          <w:rFonts w:hint="eastAsia"/>
        </w:rPr>
        <w:t>打造具有苏州特色的重点产业链信用信息系统，发布产业链信用风险指数，构建重点产业链风险防控机制。推动产业链企业信用管理，建立产业链信用纠纷调处机制、企业信用权益保护机制。以吴江区为试点率先探索，充分发挥产业链信用价值，构筑经济发展强力引擎。</w:t>
      </w:r>
    </w:p>
    <w:p>
      <w:pPr>
        <w:ind w:firstLine="632" w:firstLineChars="200"/>
        <w:outlineLvl w:val="0"/>
        <w:rPr>
          <w:rFonts w:hint="eastAsia" w:ascii="楷体_GB2312" w:eastAsia="楷体_GB2312"/>
        </w:rPr>
      </w:pPr>
      <w:r>
        <w:rPr>
          <w:rFonts w:hint="eastAsia" w:ascii="楷体_GB2312" w:eastAsia="楷体_GB2312"/>
        </w:rPr>
        <w:t>（七）培育信用服务产业</w:t>
      </w:r>
      <w:bookmarkEnd w:id="695"/>
      <w:bookmarkEnd w:id="696"/>
      <w:bookmarkEnd w:id="697"/>
      <w:bookmarkEnd w:id="698"/>
      <w:r>
        <w:rPr>
          <w:rFonts w:hint="eastAsia" w:ascii="楷体_GB2312" w:eastAsia="楷体_GB2312"/>
        </w:rPr>
        <w:t>。</w:t>
      </w:r>
    </w:p>
    <w:p>
      <w:pPr>
        <w:ind w:firstLine="632" w:firstLineChars="200"/>
        <w:outlineLvl w:val="0"/>
        <w:rPr>
          <w:rFonts w:hint="eastAsia"/>
        </w:rPr>
      </w:pPr>
      <w:bookmarkStart w:id="731" w:name="_Toc521"/>
      <w:bookmarkStart w:id="732" w:name="_Toc4280"/>
      <w:bookmarkStart w:id="733" w:name="_Toc3790"/>
      <w:bookmarkStart w:id="734" w:name="_Toc14395"/>
      <w:r>
        <w:rPr>
          <w:rFonts w:hint="eastAsia"/>
        </w:rPr>
        <w:t>1．发展信用服务市场</w:t>
      </w:r>
      <w:bookmarkEnd w:id="731"/>
      <w:bookmarkEnd w:id="732"/>
      <w:bookmarkEnd w:id="733"/>
      <w:bookmarkEnd w:id="734"/>
      <w:r>
        <w:rPr>
          <w:rFonts w:hint="eastAsia"/>
        </w:rPr>
        <w:t>。</w:t>
      </w:r>
    </w:p>
    <w:p>
      <w:pPr>
        <w:ind w:firstLine="632" w:firstLineChars="200"/>
        <w:rPr>
          <w:rFonts w:hint="eastAsia"/>
        </w:rPr>
      </w:pPr>
      <w:r>
        <w:rPr>
          <w:rFonts w:hint="eastAsia"/>
        </w:rPr>
        <w:t>积极引入有国际、国内影响力的信用行业领军企业，参与信用领域国际合作。全力培育有市场公信力、竞争力的信用服务本地品牌，形成区域性信用行业龙头企业。鼓励信用服务机构开展公共信用信息市场化应用开发，促进信用产品创新。开展个人征信业务试点探索，培育有区域影响力的征信机构和相关产业。引导企业和个人在商业活动、日常生活中主动查询信用信息，广泛使用信用产品和服务。</w:t>
      </w:r>
    </w:p>
    <w:p>
      <w:pPr>
        <w:ind w:firstLine="632" w:firstLineChars="200"/>
        <w:outlineLvl w:val="0"/>
        <w:rPr>
          <w:rFonts w:hint="eastAsia"/>
        </w:rPr>
      </w:pPr>
      <w:bookmarkStart w:id="735" w:name="_Toc20043"/>
      <w:bookmarkStart w:id="736" w:name="_Toc3653"/>
      <w:bookmarkStart w:id="737" w:name="_Toc17428"/>
      <w:bookmarkStart w:id="738" w:name="_Toc6248"/>
      <w:r>
        <w:rPr>
          <w:rFonts w:hint="eastAsia"/>
        </w:rPr>
        <w:t>2．规范信用服务行业</w:t>
      </w:r>
      <w:bookmarkEnd w:id="735"/>
      <w:bookmarkEnd w:id="736"/>
      <w:bookmarkEnd w:id="737"/>
      <w:bookmarkEnd w:id="738"/>
      <w:r>
        <w:rPr>
          <w:rFonts w:hint="eastAsia"/>
        </w:rPr>
        <w:t>。</w:t>
      </w:r>
    </w:p>
    <w:p>
      <w:pPr>
        <w:ind w:firstLine="632" w:firstLineChars="200"/>
        <w:rPr>
          <w:rFonts w:hint="eastAsia"/>
        </w:rPr>
      </w:pPr>
      <w:r>
        <w:rPr>
          <w:rFonts w:hint="eastAsia"/>
        </w:rPr>
        <w:t>建立健全信用服务机构及其从业人员信用档案，探索开展信用服务机构评价和分级分类监管。支持信用服务机构建立健全信用服务产品相关标准，提高信用产品和服务质量。在推进机构信息规范申报的基础上，探索信用服务机构信息公开，接受社会监督。强化信用服务行业自律，推动行业协会建立机构及从业人员基本行为准则和业务规范。依法依规开展信用服务机构专项治理。</w:t>
      </w:r>
    </w:p>
    <w:p>
      <w:pPr>
        <w:ind w:firstLine="632" w:firstLineChars="200"/>
        <w:outlineLvl w:val="0"/>
        <w:rPr>
          <w:rFonts w:hint="eastAsia"/>
        </w:rPr>
      </w:pPr>
      <w:bookmarkStart w:id="739" w:name="_Toc9215"/>
      <w:bookmarkStart w:id="740" w:name="_Toc11968"/>
      <w:bookmarkStart w:id="741" w:name="_Toc14008"/>
      <w:bookmarkStart w:id="742" w:name="_Toc2523"/>
      <w:r>
        <w:rPr>
          <w:rFonts w:hint="eastAsia"/>
        </w:rPr>
        <w:t>3．推动信用经济发展</w:t>
      </w:r>
      <w:bookmarkEnd w:id="739"/>
      <w:bookmarkEnd w:id="740"/>
      <w:bookmarkEnd w:id="741"/>
      <w:bookmarkEnd w:id="742"/>
      <w:r>
        <w:rPr>
          <w:rFonts w:hint="eastAsia"/>
        </w:rPr>
        <w:t>。</w:t>
      </w:r>
    </w:p>
    <w:p>
      <w:pPr>
        <w:ind w:firstLine="632" w:firstLineChars="200"/>
        <w:outlineLvl w:val="0"/>
        <w:rPr>
          <w:rFonts w:hint="eastAsia"/>
        </w:rPr>
      </w:pPr>
      <w:bookmarkStart w:id="743" w:name="_Toc3068"/>
      <w:bookmarkStart w:id="744" w:name="_Toc13158"/>
      <w:bookmarkStart w:id="745" w:name="_Toc1652"/>
      <w:bookmarkStart w:id="746" w:name="_Toc3217"/>
      <w:r>
        <w:rPr>
          <w:rFonts w:hint="eastAsia"/>
        </w:rPr>
        <w:t>促进信用服务产业与大数据、云计算、区块链等新技术产业聚集融合发展。高新区推动联合、并购或战略重组，引导大数据企业进入信用服务领域，鼓励信用服务机构引入大数据技术，实现大数据与信用服务深度融合。相城区构建“3+7”产业创新集群信用体系，全面探索建设数字信用经济新路径。</w:t>
      </w:r>
    </w:p>
    <w:bookmarkEnd w:id="743"/>
    <w:bookmarkEnd w:id="744"/>
    <w:bookmarkEnd w:id="745"/>
    <w:bookmarkEnd w:id="746"/>
    <w:p>
      <w:pPr>
        <w:ind w:firstLine="632" w:firstLineChars="200"/>
        <w:outlineLvl w:val="0"/>
        <w:rPr>
          <w:rFonts w:hint="eastAsia" w:ascii="楷体_GB2312" w:eastAsia="楷体_GB2312"/>
        </w:rPr>
      </w:pPr>
      <w:bookmarkStart w:id="747" w:name="_Toc27427"/>
      <w:bookmarkStart w:id="748" w:name="_Toc26683"/>
      <w:bookmarkStart w:id="749" w:name="_Toc7409"/>
      <w:bookmarkStart w:id="750" w:name="_Toc4910"/>
      <w:r>
        <w:rPr>
          <w:rFonts w:hint="eastAsia" w:ascii="楷体_GB2312" w:eastAsia="楷体_GB2312"/>
        </w:rPr>
        <w:t>（八）</w:t>
      </w:r>
      <w:bookmarkEnd w:id="699"/>
      <w:bookmarkEnd w:id="700"/>
      <w:bookmarkEnd w:id="701"/>
      <w:r>
        <w:rPr>
          <w:rFonts w:hint="eastAsia" w:ascii="楷体_GB2312" w:eastAsia="楷体_GB2312"/>
        </w:rPr>
        <w:t>信用赋能</w:t>
      </w:r>
      <w:bookmarkEnd w:id="702"/>
      <w:bookmarkEnd w:id="703"/>
      <w:bookmarkEnd w:id="704"/>
      <w:bookmarkEnd w:id="705"/>
      <w:bookmarkEnd w:id="706"/>
      <w:bookmarkEnd w:id="707"/>
      <w:bookmarkEnd w:id="708"/>
      <w:r>
        <w:rPr>
          <w:rFonts w:hint="eastAsia" w:ascii="楷体_GB2312" w:eastAsia="楷体_GB2312"/>
        </w:rPr>
        <w:t>社会治</w:t>
      </w:r>
      <w:bookmarkEnd w:id="747"/>
      <w:bookmarkEnd w:id="748"/>
      <w:bookmarkEnd w:id="749"/>
      <w:r>
        <w:rPr>
          <w:rFonts w:hint="eastAsia" w:ascii="楷体_GB2312" w:eastAsia="楷体_GB2312"/>
        </w:rPr>
        <w:t>理</w:t>
      </w:r>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50"/>
      <w:bookmarkStart w:id="751" w:name="_Toc95742032"/>
      <w:bookmarkStart w:id="752" w:name="_Toc405349286"/>
      <w:bookmarkStart w:id="753" w:name="_Toc737844481"/>
      <w:bookmarkStart w:id="754" w:name="_Toc83289979"/>
      <w:bookmarkStart w:id="755" w:name="_Toc1891667421"/>
      <w:bookmarkStart w:id="756" w:name="_Toc23906"/>
      <w:bookmarkStart w:id="757" w:name="_Toc2078301216"/>
      <w:bookmarkStart w:id="758" w:name="_Toc32731"/>
      <w:bookmarkStart w:id="759" w:name="_Toc95728785"/>
      <w:bookmarkStart w:id="760" w:name="_Toc221092979"/>
      <w:bookmarkStart w:id="761" w:name="_Toc1978642052"/>
      <w:bookmarkStart w:id="762" w:name="_Toc32010"/>
      <w:bookmarkStart w:id="763" w:name="_Toc1302190703"/>
      <w:bookmarkStart w:id="764" w:name="_Toc1342420606"/>
      <w:bookmarkStart w:id="765" w:name="_Toc71272137"/>
      <w:bookmarkStart w:id="766" w:name="_Toc888221213"/>
      <w:bookmarkStart w:id="767" w:name="_Toc75156586"/>
      <w:bookmarkStart w:id="768" w:name="_Toc17993"/>
      <w:bookmarkStart w:id="769" w:name="_Toc13160"/>
      <w:bookmarkStart w:id="770" w:name="_Toc1054058107"/>
      <w:bookmarkStart w:id="771" w:name="_Toc167985359"/>
      <w:bookmarkStart w:id="772" w:name="_Toc8947"/>
      <w:bookmarkStart w:id="773" w:name="_Toc8671"/>
      <w:bookmarkStart w:id="774" w:name="_Toc79574538"/>
      <w:bookmarkStart w:id="775" w:name="_Toc25728"/>
      <w:bookmarkStart w:id="776" w:name="_Toc18495"/>
      <w:bookmarkStart w:id="777" w:name="_Toc14900"/>
      <w:bookmarkStart w:id="778" w:name="_Toc26733"/>
      <w:r>
        <w:rPr>
          <w:rFonts w:hint="eastAsia" w:ascii="楷体_GB2312" w:eastAsia="楷体_GB2312"/>
        </w:rPr>
        <w:t>。</w:t>
      </w:r>
    </w:p>
    <w:p>
      <w:pPr>
        <w:ind w:firstLine="632" w:firstLineChars="200"/>
        <w:outlineLvl w:val="0"/>
        <w:rPr>
          <w:rFonts w:hint="eastAsia"/>
        </w:rPr>
      </w:pPr>
      <w:bookmarkStart w:id="779" w:name="_Toc14355"/>
      <w:bookmarkStart w:id="780" w:name="_Toc4744"/>
      <w:bookmarkStart w:id="781" w:name="_Toc9818"/>
      <w:bookmarkStart w:id="782" w:name="_Toc27024"/>
      <w:bookmarkStart w:id="783" w:name="_Toc7896"/>
      <w:r>
        <w:rPr>
          <w:rFonts w:hint="eastAsia"/>
        </w:rPr>
        <w:t>1．强化社会治理信用建设</w:t>
      </w:r>
      <w:bookmarkEnd w:id="779"/>
      <w:bookmarkEnd w:id="780"/>
      <w:bookmarkEnd w:id="781"/>
      <w:bookmarkEnd w:id="782"/>
      <w:r>
        <w:rPr>
          <w:rFonts w:hint="eastAsia"/>
        </w:rPr>
        <w:t>。</w:t>
      </w:r>
    </w:p>
    <w:p>
      <w:pPr>
        <w:ind w:firstLine="632" w:firstLineChars="200"/>
        <w:rPr>
          <w:rFonts w:hint="eastAsia"/>
        </w:rPr>
      </w:pPr>
      <w:r>
        <w:rPr>
          <w:rFonts w:hint="eastAsia"/>
        </w:rPr>
        <w:t>推进信用体系在社会治理和服务中的深度应用。联通公共信用信息系统和市域社会治理现代化指挥平台，构建社会风险预警模型，形成重点监管对象名单。结合“网格化”管理，推动社会风险的早预防、早发现、早处置。加强社会治理领域信用监管，构建“信用承诺+履约监督+评价公示”管理模式，根据评价结果采取差异化的管理措施，提升城市管理精细化水平。探索搭建守信激励场景，引导社会力量主动参与城市管理，实现共建共治共享。</w:t>
      </w:r>
    </w:p>
    <w:p>
      <w:pPr>
        <w:ind w:firstLine="632" w:firstLineChars="200"/>
        <w:outlineLvl w:val="0"/>
        <w:rPr>
          <w:rFonts w:hint="eastAsia"/>
        </w:rPr>
      </w:pPr>
      <w:bookmarkStart w:id="784" w:name="_Toc28476"/>
      <w:bookmarkStart w:id="785" w:name="_Toc29855"/>
      <w:bookmarkStart w:id="786" w:name="_Toc25362"/>
      <w:bookmarkStart w:id="787" w:name="_Toc5219"/>
      <w:r>
        <w:rPr>
          <w:rFonts w:hint="eastAsia"/>
        </w:rPr>
        <w:t>2．加快农村信用体系建设</w:t>
      </w:r>
      <w:bookmarkEnd w:id="784"/>
      <w:bookmarkEnd w:id="785"/>
      <w:bookmarkEnd w:id="786"/>
      <w:bookmarkEnd w:id="787"/>
      <w:r>
        <w:rPr>
          <w:rFonts w:hint="eastAsia"/>
        </w:rPr>
        <w:t>。</w:t>
      </w:r>
    </w:p>
    <w:p>
      <w:pPr>
        <w:ind w:firstLine="632" w:firstLineChars="200"/>
        <w:rPr>
          <w:rFonts w:hint="eastAsia"/>
        </w:rPr>
      </w:pPr>
      <w:r>
        <w:rPr>
          <w:rFonts w:hint="eastAsia"/>
        </w:rPr>
        <w:t>将诚信理念融入村规民约，结合文明实践、人居环境、社会治安等，推广农村诚信积分制度。探索农村诚信积分与“桂花分”的联动应用，充分发挥信用激励正向引导作用。开展“信用乡、信用村、信用户”评定，激发群众守信自觉和用信意识，不断提升乡村治理效能。构建涉农信用信息数据库，建成较为完善的新型农业经营主体信用体系。发展农村数字普惠金融，鼓励金融机构开发专属金融产品支持新型农业经营主体和农村新产业新业态发展。张家港市、常熟市创新开展农村信用评价体系探索，打造“信用+乡村振兴”新模式。</w:t>
      </w:r>
    </w:p>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83"/>
    <w:p>
      <w:pPr>
        <w:ind w:firstLine="632" w:firstLineChars="200"/>
        <w:outlineLvl w:val="0"/>
        <w:rPr>
          <w:rFonts w:hint="eastAsia" w:ascii="楷体_GB2312" w:eastAsia="楷体_GB2312"/>
        </w:rPr>
      </w:pPr>
      <w:bookmarkStart w:id="788" w:name="_Toc1695525049"/>
      <w:bookmarkStart w:id="789" w:name="_Toc30623"/>
      <w:bookmarkStart w:id="790" w:name="_Toc1533052427"/>
      <w:bookmarkStart w:id="791" w:name="_Toc1466638836"/>
      <w:bookmarkStart w:id="792" w:name="_Toc2850"/>
      <w:bookmarkStart w:id="793" w:name="_Toc1041435214"/>
      <w:bookmarkStart w:id="794" w:name="_Toc95728768"/>
      <w:bookmarkStart w:id="795" w:name="_Toc943992460"/>
      <w:bookmarkStart w:id="796" w:name="_Toc1795334935"/>
      <w:bookmarkStart w:id="797" w:name="_Toc377222973"/>
      <w:bookmarkStart w:id="798" w:name="_Toc29159"/>
      <w:bookmarkStart w:id="799" w:name="_Toc13957"/>
      <w:bookmarkStart w:id="800" w:name="_Toc95742015"/>
      <w:bookmarkStart w:id="801" w:name="_Toc1021286361"/>
      <w:bookmarkStart w:id="802" w:name="_Toc1186679255"/>
      <w:bookmarkStart w:id="803" w:name="_Toc10333"/>
      <w:bookmarkStart w:id="804" w:name="_Toc2046984330"/>
      <w:bookmarkStart w:id="805" w:name="_Toc963228770"/>
      <w:bookmarkStart w:id="806" w:name="_Toc19362"/>
      <w:bookmarkStart w:id="807" w:name="_Toc65433920"/>
      <w:bookmarkStart w:id="808" w:name="_Toc1712466298"/>
      <w:bookmarkStart w:id="809" w:name="_Toc473961252"/>
      <w:bookmarkStart w:id="810" w:name="_Toc1550506038"/>
      <w:bookmarkStart w:id="811" w:name="_Toc1965306638"/>
      <w:bookmarkStart w:id="812" w:name="_Toc23195"/>
      <w:bookmarkStart w:id="813" w:name="_Toc24796"/>
      <w:bookmarkStart w:id="814" w:name="_Toc23838"/>
      <w:bookmarkStart w:id="815" w:name="_Toc15399"/>
      <w:bookmarkStart w:id="816" w:name="_Toc32491"/>
      <w:r>
        <w:rPr>
          <w:rFonts w:hint="eastAsia" w:ascii="楷体_GB2312" w:eastAsia="楷体_GB2312"/>
        </w:rPr>
        <w:t>（九）</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r>
        <w:rPr>
          <w:rFonts w:hint="eastAsia" w:ascii="楷体_GB2312" w:eastAsia="楷体_GB2312"/>
        </w:rPr>
        <w:t>营造社会诚信氛</w:t>
      </w:r>
      <w:bookmarkEnd w:id="813"/>
      <w:bookmarkEnd w:id="814"/>
      <w:bookmarkEnd w:id="815"/>
      <w:r>
        <w:rPr>
          <w:rFonts w:hint="eastAsia" w:ascii="楷体_GB2312" w:eastAsia="楷体_GB2312"/>
        </w:rPr>
        <w:t>围</w:t>
      </w:r>
      <w:bookmarkEnd w:id="816"/>
      <w:r>
        <w:rPr>
          <w:rFonts w:hint="eastAsia" w:ascii="楷体_GB2312" w:eastAsia="楷体_GB2312"/>
        </w:rPr>
        <w:t>。</w:t>
      </w:r>
    </w:p>
    <w:p>
      <w:pPr>
        <w:ind w:firstLine="632" w:firstLineChars="200"/>
        <w:outlineLvl w:val="0"/>
        <w:rPr>
          <w:rFonts w:hint="eastAsia"/>
        </w:rPr>
      </w:pPr>
      <w:bookmarkStart w:id="817" w:name="_Toc16408"/>
      <w:bookmarkStart w:id="818" w:name="_Toc24474"/>
      <w:bookmarkStart w:id="819" w:name="_Toc22850"/>
      <w:bookmarkStart w:id="820" w:name="_Toc12624"/>
      <w:bookmarkStart w:id="821" w:name="_Toc406932818"/>
      <w:bookmarkStart w:id="822" w:name="_Toc95742016"/>
      <w:bookmarkStart w:id="823" w:name="_Toc1641853194"/>
      <w:bookmarkStart w:id="824" w:name="_Toc201913750"/>
      <w:bookmarkStart w:id="825" w:name="_Toc19932"/>
      <w:bookmarkStart w:id="826" w:name="_Toc30438"/>
      <w:bookmarkStart w:id="827" w:name="_Toc4819"/>
      <w:bookmarkStart w:id="828" w:name="_Toc27620"/>
      <w:bookmarkStart w:id="829" w:name="_Toc640374069"/>
      <w:bookmarkStart w:id="830" w:name="_Toc1930142006"/>
      <w:bookmarkStart w:id="831" w:name="_Toc1013477689"/>
      <w:bookmarkStart w:id="832" w:name="_Toc28275"/>
      <w:bookmarkStart w:id="833" w:name="_Toc1573444970"/>
      <w:bookmarkStart w:id="834" w:name="_Toc2099683985"/>
      <w:bookmarkStart w:id="835" w:name="_Toc545144942"/>
      <w:bookmarkStart w:id="836" w:name="_Toc15149"/>
      <w:bookmarkStart w:id="837" w:name="_Toc6809"/>
      <w:bookmarkStart w:id="838" w:name="_Toc1971169857"/>
      <w:bookmarkStart w:id="839" w:name="_Toc95728769"/>
      <w:bookmarkStart w:id="840" w:name="_Toc90759304"/>
      <w:bookmarkStart w:id="841" w:name="_Toc753641394"/>
      <w:bookmarkStart w:id="842" w:name="_Toc438469082"/>
      <w:bookmarkStart w:id="843" w:name="_Toc820019427"/>
      <w:bookmarkStart w:id="844" w:name="_Toc1250808126"/>
      <w:bookmarkStart w:id="845" w:name="_Toc26860"/>
      <w:bookmarkStart w:id="846" w:name="_Toc2085398433"/>
      <w:r>
        <w:rPr>
          <w:rFonts w:hint="eastAsia"/>
        </w:rPr>
        <w:t>1．积极开展诚信宣传</w:t>
      </w:r>
      <w:bookmarkEnd w:id="817"/>
      <w:bookmarkEnd w:id="818"/>
      <w:bookmarkEnd w:id="819"/>
      <w:bookmarkEnd w:id="820"/>
      <w:r>
        <w:rPr>
          <w:rFonts w:hint="eastAsia"/>
        </w:rPr>
        <w:t>。</w:t>
      </w:r>
    </w:p>
    <w:p>
      <w:pPr>
        <w:ind w:firstLine="632" w:firstLineChars="200"/>
        <w:rPr>
          <w:rFonts w:hint="eastAsia"/>
        </w:rPr>
      </w:pPr>
      <w:r>
        <w:rPr>
          <w:rFonts w:hint="eastAsia"/>
        </w:rPr>
        <w:t>进一步发挥电视、广播、报纸、网络等媒体的宣传引导作用，加大政策法规、信用知识和诚信典型等方面的宣传力度。鼓励诚信主题文艺创作，将传统吴文化崇德尚善、诚信立本的精神内核与现代诚信文化相结合，引导社会公众讲诚信、守信誉、重践诺。更好发挥信用网站和微信公众号宣传主阵地作用，持续输出优质内容，提升诚信宣传影响力。征集、创作诚信主题宣传片和信用知识短视频，传播诚信理念。</w:t>
      </w:r>
    </w:p>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p>
      <w:pPr>
        <w:ind w:firstLine="632" w:firstLineChars="200"/>
        <w:outlineLvl w:val="0"/>
        <w:rPr>
          <w:rFonts w:hint="eastAsia"/>
        </w:rPr>
      </w:pPr>
      <w:bookmarkStart w:id="847" w:name="_Toc12172"/>
      <w:bookmarkStart w:id="848" w:name="_Toc19354"/>
      <w:bookmarkStart w:id="849" w:name="_Toc16550"/>
      <w:bookmarkStart w:id="850" w:name="_Toc31561"/>
      <w:bookmarkStart w:id="851" w:name="_Toc979769752"/>
      <w:bookmarkStart w:id="852" w:name="_Toc11666"/>
      <w:bookmarkStart w:id="853" w:name="_Toc12471"/>
      <w:bookmarkStart w:id="854" w:name="_Toc7759"/>
      <w:bookmarkStart w:id="855" w:name="_Toc4359"/>
      <w:bookmarkStart w:id="856" w:name="_Toc514954065"/>
      <w:bookmarkStart w:id="857" w:name="_Toc3939"/>
      <w:bookmarkStart w:id="858" w:name="_Toc1386191427"/>
      <w:bookmarkStart w:id="859" w:name="_Toc1911521331"/>
      <w:bookmarkStart w:id="860" w:name="_Toc1431224475"/>
      <w:bookmarkStart w:id="861" w:name="_Toc788792771"/>
      <w:bookmarkStart w:id="862" w:name="_Toc1879903518"/>
      <w:bookmarkStart w:id="863" w:name="_Toc9253"/>
      <w:bookmarkStart w:id="864" w:name="_Toc356963717"/>
      <w:bookmarkStart w:id="865" w:name="_Toc1205891429"/>
      <w:bookmarkStart w:id="866" w:name="_Toc1901463684"/>
      <w:bookmarkStart w:id="867" w:name="_Toc132997902"/>
      <w:bookmarkStart w:id="868" w:name="_Toc859935871"/>
      <w:bookmarkStart w:id="869" w:name="_Toc7792"/>
      <w:bookmarkStart w:id="870" w:name="_Toc95728770"/>
      <w:bookmarkStart w:id="871" w:name="_Toc1913144936"/>
      <w:bookmarkStart w:id="872" w:name="_Toc766482209"/>
      <w:bookmarkStart w:id="873" w:name="_Toc95742017"/>
      <w:bookmarkStart w:id="874" w:name="_Toc3918"/>
      <w:bookmarkStart w:id="875" w:name="_Toc873362573"/>
      <w:bookmarkStart w:id="876" w:name="_Toc1701685000"/>
      <w:r>
        <w:rPr>
          <w:rFonts w:hint="eastAsia"/>
        </w:rPr>
        <w:t>2．深入推进主题活动</w:t>
      </w:r>
      <w:bookmarkEnd w:id="847"/>
      <w:bookmarkEnd w:id="848"/>
      <w:bookmarkEnd w:id="849"/>
      <w:bookmarkEnd w:id="850"/>
      <w:r>
        <w:rPr>
          <w:rFonts w:hint="eastAsia"/>
        </w:rPr>
        <w:t>。</w:t>
      </w:r>
    </w:p>
    <w:p>
      <w:pPr>
        <w:ind w:firstLine="632" w:firstLineChars="200"/>
        <w:rPr>
          <w:rFonts w:hint="eastAsia"/>
        </w:rPr>
      </w:pPr>
      <w:r>
        <w:rPr>
          <w:rFonts w:hint="eastAsia"/>
        </w:rPr>
        <w:t>举办诚信主题活动，开展行业诚信接力，鼓励各部门接力举办具有行业特色的诚信主题活动，提升各行业市场主体和从业人员信用认知水平。广泛开展道德模范评选和诚信创建活动，树立诚信典型，发挥榜样示范引领作用。深入推进诚信文化宣传“六进”活动，增强社会成员诚信意识，使诚实守信成为人们的内在追求和行为习惯。组织典型案例征集活动，推广信用建设先进经验和典型做法。</w:t>
      </w:r>
    </w:p>
    <w:p>
      <w:pPr>
        <w:ind w:firstLine="632" w:firstLineChars="200"/>
        <w:outlineLvl w:val="0"/>
        <w:rPr>
          <w:rFonts w:hint="eastAsia"/>
        </w:rPr>
      </w:pPr>
      <w:bookmarkStart w:id="877" w:name="_Toc10348"/>
      <w:bookmarkStart w:id="878" w:name="_Toc14406"/>
      <w:bookmarkStart w:id="879" w:name="_Toc22263"/>
      <w:bookmarkStart w:id="880" w:name="_Toc14413"/>
      <w:r>
        <w:rPr>
          <w:rFonts w:hint="eastAsia"/>
        </w:rPr>
        <w:t>3．持续普及诚信教育</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r>
        <w:rPr>
          <w:rFonts w:hint="eastAsia"/>
        </w:rPr>
        <w:t>。</w:t>
      </w:r>
    </w:p>
    <w:p>
      <w:pPr>
        <w:ind w:firstLine="632" w:firstLineChars="200"/>
        <w:rPr>
          <w:rFonts w:hint="eastAsia"/>
        </w:rPr>
      </w:pPr>
      <w:r>
        <w:rPr>
          <w:rFonts w:hint="eastAsia"/>
        </w:rPr>
        <w:t>加强社会公德、职业道德、家庭美德和个人品德教育，将诚信教育贯穿公民道德建设和精神文明创建全过程。进一步强化诚信基础教育，组织中小学校、职业学校、高等学校和其他教育机构采取鲜活有效方式开展诚信教育。在重点人群培训中充实诚信教育内容，通过签订承诺书、开展专题学习等形式提升重点职业人群信用意识。充分利用新时代文明实践中心、道德讲堂、市民学校，广泛开展信用知识普及活动。加强《江苏省社会信用条例》宣贯工作，在全社会普及信用法治意识，形成学条例、用条例、守条例的浓厚社会氛围。</w:t>
      </w:r>
    </w:p>
    <w:bookmarkEnd w:id="775"/>
    <w:bookmarkEnd w:id="776"/>
    <w:bookmarkEnd w:id="777"/>
    <w:bookmarkEnd w:id="778"/>
    <w:p>
      <w:pPr>
        <w:ind w:firstLine="632" w:firstLineChars="200"/>
        <w:outlineLvl w:val="0"/>
        <w:rPr>
          <w:rFonts w:hint="eastAsia" w:ascii="黑体" w:hAnsi="黑体" w:eastAsia="黑体"/>
        </w:rPr>
      </w:pPr>
      <w:bookmarkStart w:id="881" w:name="_Toc7580"/>
      <w:bookmarkStart w:id="882" w:name="_Toc12275"/>
      <w:bookmarkStart w:id="883" w:name="_Toc1605933225"/>
      <w:bookmarkStart w:id="884" w:name="_Toc463321341"/>
      <w:bookmarkStart w:id="885" w:name="_Toc103107229"/>
      <w:bookmarkStart w:id="886" w:name="_Toc83289985"/>
      <w:bookmarkStart w:id="887" w:name="_Toc22353"/>
      <w:bookmarkStart w:id="888" w:name="_Toc1062601240"/>
      <w:bookmarkStart w:id="889" w:name="_Toc2130801322"/>
      <w:bookmarkStart w:id="890" w:name="_Toc79574549"/>
      <w:bookmarkStart w:id="891" w:name="_Toc95728792"/>
      <w:bookmarkStart w:id="892" w:name="_Toc385"/>
      <w:bookmarkStart w:id="893" w:name="_Toc714838684"/>
      <w:bookmarkStart w:id="894" w:name="_Toc1577690662"/>
      <w:bookmarkStart w:id="895" w:name="_Toc202248543"/>
      <w:bookmarkStart w:id="896" w:name="_Toc75156597"/>
      <w:bookmarkStart w:id="897" w:name="_Toc367306498"/>
      <w:bookmarkStart w:id="898" w:name="_Toc21452"/>
      <w:bookmarkStart w:id="899" w:name="_Toc32216"/>
      <w:bookmarkStart w:id="900" w:name="_Toc764762397"/>
      <w:bookmarkStart w:id="901" w:name="_Toc1543695818"/>
      <w:bookmarkStart w:id="902" w:name="_Toc1637245183"/>
      <w:bookmarkStart w:id="903" w:name="_Toc345669984"/>
      <w:bookmarkStart w:id="904" w:name="_Toc5213"/>
      <w:bookmarkStart w:id="905" w:name="_Toc1351"/>
      <w:bookmarkStart w:id="906" w:name="_Toc32535"/>
      <w:bookmarkStart w:id="907" w:name="_Toc1620948107"/>
      <w:bookmarkStart w:id="908" w:name="_Toc1155654598"/>
      <w:bookmarkStart w:id="909" w:name="_Toc127318166"/>
      <w:bookmarkStart w:id="910" w:name="_Toc95742039"/>
      <w:bookmarkStart w:id="911" w:name="_Toc9316"/>
      <w:bookmarkStart w:id="912" w:name="_Toc11223"/>
      <w:r>
        <w:rPr>
          <w:rFonts w:hint="eastAsia" w:ascii="黑体" w:hAnsi="黑体" w:eastAsia="黑体"/>
        </w:rPr>
        <w:t>四、</w:t>
      </w:r>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r>
        <w:rPr>
          <w:rFonts w:hint="eastAsia" w:ascii="黑体" w:hAnsi="黑体" w:eastAsia="黑体"/>
        </w:rPr>
        <w:t>保障措施</w:t>
      </w:r>
    </w:p>
    <w:p>
      <w:pPr>
        <w:ind w:firstLine="632" w:firstLineChars="200"/>
        <w:outlineLvl w:val="0"/>
        <w:rPr>
          <w:rFonts w:hint="eastAsia" w:ascii="楷体_GB2312" w:eastAsia="楷体_GB2312"/>
        </w:rPr>
      </w:pPr>
      <w:bookmarkStart w:id="913" w:name="_Toc96174899"/>
      <w:bookmarkStart w:id="914" w:name="_Toc556098164"/>
      <w:bookmarkStart w:id="915" w:name="_Toc13074"/>
      <w:bookmarkStart w:id="916" w:name="_Toc1495"/>
      <w:bookmarkStart w:id="917" w:name="_Toc9037"/>
      <w:bookmarkStart w:id="918" w:name="_Toc224858615"/>
      <w:bookmarkStart w:id="919" w:name="_Toc95742040"/>
      <w:bookmarkStart w:id="920" w:name="_Toc11002"/>
      <w:bookmarkStart w:id="921" w:name="_Toc6628"/>
      <w:bookmarkStart w:id="922" w:name="_Toc469946715"/>
      <w:bookmarkStart w:id="923" w:name="_Toc329331447"/>
      <w:bookmarkStart w:id="924" w:name="_Toc1201694451"/>
      <w:bookmarkStart w:id="925" w:name="_Toc4518"/>
      <w:bookmarkStart w:id="926" w:name="_Toc83289986"/>
      <w:bookmarkStart w:id="927" w:name="_Toc1443947630"/>
      <w:bookmarkStart w:id="928" w:name="_Toc356683005"/>
      <w:bookmarkStart w:id="929" w:name="_Toc1775685299"/>
      <w:bookmarkStart w:id="930" w:name="_Toc83407066"/>
      <w:bookmarkStart w:id="931" w:name="_Toc29650"/>
      <w:bookmarkStart w:id="932" w:name="_Toc9206"/>
      <w:bookmarkStart w:id="933" w:name="_Toc75156598"/>
      <w:bookmarkStart w:id="934" w:name="_Toc703321165"/>
      <w:bookmarkStart w:id="935" w:name="_Toc256183415"/>
      <w:bookmarkStart w:id="936" w:name="_Toc20761"/>
      <w:bookmarkStart w:id="937" w:name="_Toc428535888"/>
      <w:bookmarkStart w:id="938" w:name="_Toc79574550"/>
      <w:bookmarkStart w:id="939" w:name="_Toc12488"/>
      <w:bookmarkStart w:id="940" w:name="_Toc562661006"/>
      <w:bookmarkStart w:id="941" w:name="_Toc24390"/>
      <w:bookmarkStart w:id="942" w:name="_Toc14796"/>
      <w:bookmarkStart w:id="943" w:name="_Toc16762"/>
      <w:bookmarkStart w:id="944" w:name="_Toc95728793"/>
      <w:bookmarkStart w:id="945" w:name="_Toc311113631"/>
      <w:bookmarkStart w:id="946" w:name="_Toc17855"/>
      <w:bookmarkStart w:id="947" w:name="_Toc1115338500"/>
      <w:bookmarkStart w:id="948" w:name="_Toc16974"/>
      <w:r>
        <w:rPr>
          <w:rFonts w:hint="eastAsia" w:ascii="楷体_GB2312" w:eastAsia="楷体_GB2312"/>
        </w:rPr>
        <w:t>（一）</w:t>
      </w:r>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r>
        <w:rPr>
          <w:rFonts w:hint="eastAsia" w:ascii="楷体_GB2312" w:eastAsia="楷体_GB2312"/>
        </w:rPr>
        <w:t>健全组织保障。</w:t>
      </w:r>
    </w:p>
    <w:p>
      <w:pPr>
        <w:ind w:firstLine="632" w:firstLineChars="200"/>
        <w:rPr>
          <w:rFonts w:hint="eastAsia"/>
        </w:rPr>
      </w:pPr>
      <w:bookmarkStart w:id="949" w:name="_Toc7891"/>
      <w:bookmarkStart w:id="950" w:name="_Toc22314"/>
      <w:bookmarkStart w:id="951" w:name="_Toc12031"/>
      <w:bookmarkStart w:id="952" w:name="_Toc22688"/>
      <w:r>
        <w:rPr>
          <w:rFonts w:hint="eastAsia"/>
        </w:rPr>
        <w:t>加大社会信用体系建设推进力度，充分发挥苏州市社会信用体系建设领导小组统筹协调作用，研究解决社会信用体系建设工作重点、难点、堵点问题。各部门各司其职，市区两级协调联动，形成齐抓共管的工作局面。加强各级公共信用信息工作机构力量，保障公共信用信息系统的建设、运行和维护。</w:t>
      </w:r>
    </w:p>
    <w:p>
      <w:pPr>
        <w:ind w:firstLine="632" w:firstLineChars="200"/>
        <w:outlineLvl w:val="0"/>
        <w:rPr>
          <w:rFonts w:hint="eastAsia" w:ascii="楷体_GB2312" w:eastAsia="楷体_GB2312"/>
        </w:rPr>
      </w:pPr>
      <w:bookmarkStart w:id="953" w:name="_Toc381250193"/>
      <w:bookmarkStart w:id="954" w:name="_Toc1546430959"/>
      <w:bookmarkStart w:id="955" w:name="_Toc95742041"/>
      <w:bookmarkStart w:id="956" w:name="_Toc110113552"/>
      <w:bookmarkStart w:id="957" w:name="_Toc1897390364"/>
      <w:bookmarkStart w:id="958" w:name="_Toc8277"/>
      <w:bookmarkStart w:id="959" w:name="_Toc1871549523"/>
      <w:bookmarkStart w:id="960" w:name="_Toc95728794"/>
      <w:bookmarkStart w:id="961" w:name="_Toc14626"/>
      <w:bookmarkStart w:id="962" w:name="_Toc75156599"/>
      <w:bookmarkStart w:id="963" w:name="_Toc83514122"/>
      <w:bookmarkStart w:id="964" w:name="_Toc1304769899"/>
      <w:bookmarkStart w:id="965" w:name="_Toc1866560610"/>
      <w:bookmarkStart w:id="966" w:name="_Toc19848"/>
      <w:bookmarkStart w:id="967" w:name="_Toc2017968347"/>
      <w:bookmarkStart w:id="968" w:name="_Toc28302"/>
      <w:bookmarkStart w:id="969" w:name="_Toc1724860743"/>
      <w:bookmarkStart w:id="970" w:name="_Toc1127026843"/>
      <w:bookmarkStart w:id="971" w:name="_Toc359921404"/>
      <w:bookmarkStart w:id="972" w:name="_Toc28779"/>
      <w:bookmarkStart w:id="973" w:name="_Toc1206258528"/>
      <w:bookmarkStart w:id="974" w:name="_Toc2135102070"/>
      <w:bookmarkStart w:id="975" w:name="_Toc1365301331"/>
      <w:bookmarkStart w:id="976" w:name="_Toc83289987"/>
      <w:bookmarkStart w:id="977" w:name="_Toc489280289"/>
      <w:bookmarkStart w:id="978" w:name="_Toc1557"/>
      <w:bookmarkStart w:id="979" w:name="_Toc79574551"/>
      <w:bookmarkStart w:id="980" w:name="_Toc1723"/>
      <w:bookmarkStart w:id="981" w:name="_Toc16323"/>
      <w:bookmarkStart w:id="982" w:name="_Toc15521"/>
      <w:bookmarkStart w:id="983" w:name="_Toc13047"/>
      <w:bookmarkStart w:id="984" w:name="_Toc6898"/>
      <w:r>
        <w:rPr>
          <w:rFonts w:hint="eastAsia" w:ascii="楷体_GB2312" w:eastAsia="楷体_GB2312"/>
        </w:rPr>
        <w:t>（二）</w:t>
      </w:r>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r>
        <w:rPr>
          <w:rFonts w:hint="eastAsia" w:ascii="楷体_GB2312" w:eastAsia="楷体_GB2312"/>
        </w:rPr>
        <w:t>强化责任落实</w:t>
      </w:r>
      <w:bookmarkEnd w:id="981"/>
      <w:bookmarkEnd w:id="982"/>
      <w:bookmarkEnd w:id="983"/>
      <w:bookmarkEnd w:id="984"/>
      <w:r>
        <w:rPr>
          <w:rFonts w:hint="eastAsia" w:ascii="楷体_GB2312" w:eastAsia="楷体_GB2312"/>
        </w:rPr>
        <w:t>。</w:t>
      </w:r>
    </w:p>
    <w:p>
      <w:pPr>
        <w:ind w:firstLine="632" w:firstLineChars="200"/>
        <w:rPr>
          <w:rFonts w:hint="eastAsia"/>
        </w:rPr>
      </w:pPr>
      <w:bookmarkStart w:id="985" w:name="_Toc30472"/>
      <w:r>
        <w:rPr>
          <w:rFonts w:hint="eastAsia"/>
        </w:rPr>
        <w:t>建立健全主要目标任务实施跟踪机制，将规划实施与年度工作要点有机结合，定期对工作落实情况进行总结和评估，及时发现问题并提出改进措施。各地各部门结合工作实际，制定落实方案，明确时间表、路线图和责任主体，强化任务落地。加强对各地各部门工作推进情况的考核、通报，提升工作质效，确保社会信用体系建设工作持续走在全国前列。</w:t>
      </w:r>
    </w:p>
    <w:p>
      <w:pPr>
        <w:ind w:firstLine="632" w:firstLineChars="200"/>
        <w:outlineLvl w:val="0"/>
        <w:rPr>
          <w:rFonts w:hint="eastAsia" w:ascii="楷体_GB2312" w:eastAsia="楷体_GB2312"/>
        </w:rPr>
      </w:pPr>
      <w:bookmarkStart w:id="986" w:name="_Toc11727"/>
      <w:bookmarkStart w:id="987" w:name="_Toc68800535"/>
      <w:bookmarkStart w:id="988" w:name="_Toc356199193"/>
      <w:bookmarkStart w:id="989" w:name="_Toc1274055372"/>
      <w:bookmarkStart w:id="990" w:name="_Toc1509873965"/>
      <w:bookmarkStart w:id="991" w:name="_Toc75156600"/>
      <w:bookmarkStart w:id="992" w:name="_Toc650446718"/>
      <w:bookmarkStart w:id="993" w:name="_Toc95728795"/>
      <w:bookmarkStart w:id="994" w:name="_Toc17531"/>
      <w:bookmarkStart w:id="995" w:name="_Toc28354"/>
      <w:bookmarkStart w:id="996" w:name="_Toc1454852808"/>
      <w:bookmarkStart w:id="997" w:name="_Toc1913557110"/>
      <w:bookmarkStart w:id="998" w:name="_Toc1619096801"/>
      <w:bookmarkStart w:id="999" w:name="_Toc79574552"/>
      <w:bookmarkStart w:id="1000" w:name="_Toc866952993"/>
      <w:bookmarkStart w:id="1001" w:name="_Toc487308653"/>
      <w:bookmarkStart w:id="1002" w:name="_Toc14519"/>
      <w:bookmarkStart w:id="1003" w:name="_Toc27744"/>
      <w:bookmarkStart w:id="1004" w:name="_Toc896876390"/>
      <w:bookmarkStart w:id="1005" w:name="_Toc1435992752"/>
      <w:bookmarkStart w:id="1006" w:name="_Toc95742042"/>
      <w:bookmarkStart w:id="1007" w:name="_Toc83289988"/>
      <w:bookmarkStart w:id="1008" w:name="_Toc1008097249"/>
      <w:bookmarkStart w:id="1009" w:name="_Toc3051"/>
      <w:bookmarkStart w:id="1010" w:name="_Toc2028855243"/>
      <w:bookmarkStart w:id="1011" w:name="_Toc26943"/>
      <w:bookmarkStart w:id="1012" w:name="_Toc3470"/>
      <w:bookmarkStart w:id="1013" w:name="_Toc25511"/>
      <w:bookmarkStart w:id="1014" w:name="_Toc20602"/>
      <w:bookmarkStart w:id="1015" w:name="_Toc2093940788"/>
      <w:bookmarkStart w:id="1016" w:name="_Toc759238164"/>
      <w:bookmarkStart w:id="1017" w:name="_Toc21573"/>
      <w:r>
        <w:rPr>
          <w:rFonts w:hint="eastAsia" w:ascii="楷体_GB2312" w:eastAsia="楷体_GB2312"/>
        </w:rPr>
        <w:t>（三）</w:t>
      </w:r>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r>
        <w:rPr>
          <w:rFonts w:hint="eastAsia" w:ascii="楷体_GB2312" w:eastAsia="楷体_GB2312"/>
        </w:rPr>
        <w:t>加强政策和资金支撑。</w:t>
      </w:r>
    </w:p>
    <w:p>
      <w:pPr>
        <w:ind w:firstLine="632" w:firstLineChars="200"/>
        <w:rPr>
          <w:rFonts w:hint="eastAsia"/>
        </w:rPr>
      </w:pPr>
      <w:r>
        <w:rPr>
          <w:rFonts w:hint="eastAsia"/>
        </w:rPr>
        <w:t>按照国家和省相关政策，围绕“十四五”时期我市社会信用体系建设重点，建立健全信用扶持政策体系。持续规范市级信用建设资金管理，明确资金使用方向和支持重点，强化风险防范，提高资金使用效益。鼓励各市区安排专项资金支持信用平台、宣传教育等相关工作，确保信用体系建设持续贯彻落实。</w:t>
      </w:r>
    </w:p>
    <w:p>
      <w:pPr>
        <w:ind w:firstLine="632" w:firstLineChars="200"/>
        <w:outlineLvl w:val="0"/>
        <w:rPr>
          <w:rFonts w:hint="eastAsia" w:ascii="楷体_GB2312" w:eastAsia="楷体_GB2312"/>
        </w:rPr>
      </w:pPr>
      <w:bookmarkStart w:id="1018" w:name="_Toc15661"/>
      <w:bookmarkStart w:id="1019" w:name="_Toc21877"/>
      <w:bookmarkStart w:id="1020" w:name="_Toc20681"/>
      <w:bookmarkStart w:id="1021" w:name="_Toc23964"/>
      <w:r>
        <w:rPr>
          <w:rFonts w:hint="eastAsia" w:ascii="楷体_GB2312" w:eastAsia="楷体_GB2312"/>
        </w:rPr>
        <w:t>（四）培养信用管理人才</w:t>
      </w:r>
      <w:bookmarkEnd w:id="1018"/>
      <w:bookmarkEnd w:id="1019"/>
      <w:bookmarkEnd w:id="1020"/>
      <w:bookmarkEnd w:id="1021"/>
      <w:r>
        <w:rPr>
          <w:rFonts w:hint="eastAsia" w:ascii="楷体_GB2312" w:eastAsia="楷体_GB2312"/>
        </w:rPr>
        <w:t>。</w:t>
      </w:r>
    </w:p>
    <w:p>
      <w:pPr>
        <w:ind w:firstLine="632" w:firstLineChars="200"/>
        <w:rPr>
          <w:rFonts w:hint="eastAsia"/>
        </w:rPr>
      </w:pPr>
      <w:r>
        <w:rPr>
          <w:rFonts w:hint="eastAsia"/>
        </w:rPr>
        <w:t>进一步做好信用管理师职业技能培训和评价工作，充实具备信用知识与实践经验的专业人才队伍。培养和引进高层次专家型信用专业人才，加强信用理论和应用研究，支持高等院校开设信用管理课程和专业。持续开展信用建设专题培训，提升信用管理工作人员能力水平。</w:t>
      </w:r>
      <w:bookmarkStart w:id="1022" w:name="_GoBack"/>
      <w:bookmarkEnd w:id="1022"/>
    </w:p>
    <w:sectPr>
      <w:footerReference r:id="rId5" w:type="first"/>
      <w:footerReference r:id="rId3" w:type="default"/>
      <w:footerReference r:id="rId4" w:type="even"/>
      <w:pgSz w:w="11906" w:h="16838"/>
      <w:pgMar w:top="2041" w:right="1474" w:bottom="1985" w:left="1588" w:header="851" w:footer="1520" w:gutter="0"/>
      <w:pgNumType w:start="1" w:chapStyle="1"/>
      <w:cols w:space="425" w:num="1"/>
      <w:docGrid w:type="linesAndChars" w:linePitch="582"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文鼎CS仿宋体">
    <w:altName w:val="宋体"/>
    <w:panose1 w:val="00000000000000000000"/>
    <w:charset w:val="86"/>
    <w:family w:val="modern"/>
    <w:pitch w:val="default"/>
    <w:sig w:usb0="00000000" w:usb1="00000000" w:usb2="00000010" w:usb3="00000000" w:csb0="00040000" w:csb1="00000000"/>
  </w:font>
  <w:font w:name="汉鼎简大宋">
    <w:altName w:val="宋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left="320" w:leftChars="100" w:right="320" w:rightChars="100"/>
      <w:jc w:val="right"/>
      <w:rPr>
        <w:sz w:val="28"/>
        <w:szCs w:val="28"/>
      </w:rPr>
    </w:pPr>
    <w:r>
      <w:rPr>
        <w:rStyle w:val="19"/>
        <w:rFonts w:hint="eastAsia" w:eastAsia="宋体"/>
        <w:sz w:val="28"/>
        <w:szCs w:val="28"/>
      </w:rPr>
      <w:t>—</w:t>
    </w:r>
    <w:r>
      <w:rPr>
        <w:rStyle w:val="19"/>
        <w:rFonts w:ascii="Times New Roman"/>
        <w:sz w:val="28"/>
        <w:szCs w:val="28"/>
      </w:rPr>
      <w:t xml:space="preserve"> </w:t>
    </w:r>
    <w:r>
      <w:rPr>
        <w:rStyle w:val="19"/>
        <w:rFonts w:ascii="宋体" w:hAnsi="宋体" w:eastAsia="宋体"/>
        <w:sz w:val="28"/>
        <w:szCs w:val="28"/>
      </w:rPr>
      <w:fldChar w:fldCharType="begin"/>
    </w:r>
    <w:r>
      <w:rPr>
        <w:rStyle w:val="19"/>
        <w:rFonts w:ascii="宋体" w:hAnsi="宋体" w:eastAsia="宋体"/>
        <w:sz w:val="28"/>
        <w:szCs w:val="28"/>
      </w:rPr>
      <w:instrText xml:space="preserve">PAGE  </w:instrText>
    </w:r>
    <w:r>
      <w:rPr>
        <w:rStyle w:val="19"/>
        <w:rFonts w:ascii="宋体" w:hAnsi="宋体" w:eastAsia="宋体"/>
        <w:sz w:val="28"/>
        <w:szCs w:val="28"/>
      </w:rPr>
      <w:fldChar w:fldCharType="separate"/>
    </w:r>
    <w:r>
      <w:rPr>
        <w:rStyle w:val="19"/>
        <w:rFonts w:ascii="宋体" w:hAnsi="宋体" w:eastAsia="宋体"/>
        <w:sz w:val="28"/>
        <w:szCs w:val="28"/>
      </w:rPr>
      <w:t>1</w:t>
    </w:r>
    <w:r>
      <w:rPr>
        <w:rStyle w:val="19"/>
        <w:rFonts w:ascii="宋体" w:hAnsi="宋体" w:eastAsia="宋体"/>
        <w:sz w:val="28"/>
        <w:szCs w:val="28"/>
      </w:rPr>
      <w:fldChar w:fldCharType="end"/>
    </w:r>
    <w:r>
      <w:rPr>
        <w:rStyle w:val="19"/>
        <w:rFonts w:ascii="Times New Roman"/>
        <w:sz w:val="28"/>
        <w:szCs w:val="28"/>
      </w:rPr>
      <w:t xml:space="preserve"> </w:t>
    </w:r>
    <w:r>
      <w:rPr>
        <w:rStyle w:val="19"/>
        <w:rFonts w:hint="eastAsia" w:eastAsia="宋体"/>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left="320" w:leftChars="100" w:right="320" w:rightChars="100"/>
    </w:pPr>
    <w:r>
      <w:rPr>
        <w:rStyle w:val="19"/>
        <w:rFonts w:hint="eastAsia" w:eastAsia="宋体"/>
        <w:sz w:val="28"/>
        <w:szCs w:val="28"/>
      </w:rPr>
      <w:t>—</w:t>
    </w:r>
    <w:r>
      <w:rPr>
        <w:rStyle w:val="19"/>
        <w:rFonts w:hint="eastAsia"/>
        <w:sz w:val="28"/>
        <w:szCs w:val="28"/>
      </w:rPr>
      <w:t xml:space="preserve"> </w:t>
    </w:r>
    <w:r>
      <w:rPr>
        <w:rStyle w:val="19"/>
        <w:rFonts w:ascii="宋体" w:hAnsi="宋体" w:eastAsia="宋体"/>
        <w:sz w:val="28"/>
        <w:szCs w:val="28"/>
      </w:rPr>
      <w:fldChar w:fldCharType="begin"/>
    </w:r>
    <w:r>
      <w:rPr>
        <w:rStyle w:val="19"/>
        <w:rFonts w:ascii="宋体" w:hAnsi="宋体" w:eastAsia="宋体"/>
        <w:sz w:val="28"/>
        <w:szCs w:val="28"/>
      </w:rPr>
      <w:instrText xml:space="preserve">PAGE  </w:instrText>
    </w:r>
    <w:r>
      <w:rPr>
        <w:rStyle w:val="19"/>
        <w:rFonts w:ascii="宋体" w:hAnsi="宋体" w:eastAsia="宋体"/>
        <w:sz w:val="28"/>
        <w:szCs w:val="28"/>
      </w:rPr>
      <w:fldChar w:fldCharType="separate"/>
    </w:r>
    <w:r>
      <w:rPr>
        <w:rStyle w:val="19"/>
        <w:rFonts w:ascii="宋体" w:hAnsi="宋体" w:eastAsia="宋体"/>
        <w:sz w:val="28"/>
        <w:szCs w:val="28"/>
      </w:rPr>
      <w:t>2</w:t>
    </w:r>
    <w:r>
      <w:rPr>
        <w:rStyle w:val="19"/>
        <w:rFonts w:ascii="宋体" w:hAnsi="宋体" w:eastAsia="宋体"/>
        <w:sz w:val="28"/>
        <w:szCs w:val="28"/>
      </w:rPr>
      <w:fldChar w:fldCharType="end"/>
    </w:r>
    <w:r>
      <w:rPr>
        <w:rStyle w:val="19"/>
        <w:rFonts w:hint="eastAsia"/>
        <w:sz w:val="28"/>
        <w:szCs w:val="28"/>
      </w:rPr>
      <w:t xml:space="preserve"> </w:t>
    </w:r>
    <w:r>
      <w:rPr>
        <w:rStyle w:val="19"/>
        <w:rFonts w:hint="eastAsia" w:eastAsia="宋体"/>
        <w:sz w:val="28"/>
        <w:szCs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rPr>
        <w:sz w:val="32"/>
      </w:rPr>
    </w:pPr>
    <w:r>
      <w:rPr>
        <w:rStyle w:val="19"/>
        <w:rFonts w:hint="eastAsia"/>
        <w:sz w:val="32"/>
      </w:rPr>
      <w:t xml:space="preserve">— </w:t>
    </w:r>
    <w:r>
      <w:rPr>
        <w:rStyle w:val="19"/>
        <w:rFonts w:hint="eastAsia"/>
        <w:sz w:val="30"/>
      </w:rPr>
      <w:fldChar w:fldCharType="begin"/>
    </w:r>
    <w:r>
      <w:rPr>
        <w:rStyle w:val="19"/>
        <w:rFonts w:hint="eastAsia"/>
        <w:sz w:val="30"/>
      </w:rPr>
      <w:instrText xml:space="preserve"> PAGE </w:instrText>
    </w:r>
    <w:r>
      <w:rPr>
        <w:rStyle w:val="19"/>
        <w:rFonts w:hint="eastAsia"/>
        <w:sz w:val="30"/>
      </w:rPr>
      <w:fldChar w:fldCharType="separate"/>
    </w:r>
    <w:r>
      <w:rPr>
        <w:rStyle w:val="19"/>
        <w:sz w:val="30"/>
      </w:rPr>
      <w:t>1</w:t>
    </w:r>
    <w:r>
      <w:rPr>
        <w:rStyle w:val="19"/>
        <w:rFonts w:hint="eastAsia"/>
        <w:sz w:val="30"/>
      </w:rPr>
      <w:fldChar w:fldCharType="end"/>
    </w:r>
    <w:r>
      <w:rPr>
        <w:rStyle w:val="19"/>
        <w:rFonts w:hint="eastAsia"/>
        <w:sz w:val="32"/>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8705BA"/>
    <w:multiLevelType w:val="multilevel"/>
    <w:tmpl w:val="548705BA"/>
    <w:lvl w:ilvl="0" w:tentative="0">
      <w:start w:val="1"/>
      <w:numFmt w:val="japaneseCounting"/>
      <w:pStyle w:val="26"/>
      <w:lvlText w:val="（%1）"/>
      <w:lvlJc w:val="left"/>
      <w:pPr>
        <w:tabs>
          <w:tab w:val="left" w:pos="1707"/>
        </w:tabs>
        <w:ind w:left="1707" w:hanging="1080"/>
      </w:pPr>
      <w:rPr>
        <w:rFonts w:hint="eastAsia"/>
      </w:rPr>
    </w:lvl>
    <w:lvl w:ilvl="1" w:tentative="0">
      <w:start w:val="1"/>
      <w:numFmt w:val="lowerLetter"/>
      <w:lvlText w:val="%2)"/>
      <w:lvlJc w:val="left"/>
      <w:pPr>
        <w:tabs>
          <w:tab w:val="left" w:pos="1467"/>
        </w:tabs>
        <w:ind w:left="1467" w:hanging="420"/>
      </w:pPr>
    </w:lvl>
    <w:lvl w:ilvl="2" w:tentative="0">
      <w:start w:val="1"/>
      <w:numFmt w:val="lowerRoman"/>
      <w:lvlText w:val="%3."/>
      <w:lvlJc w:val="right"/>
      <w:pPr>
        <w:tabs>
          <w:tab w:val="left" w:pos="1887"/>
        </w:tabs>
        <w:ind w:left="1887" w:hanging="420"/>
      </w:pPr>
    </w:lvl>
    <w:lvl w:ilvl="3" w:tentative="0">
      <w:start w:val="1"/>
      <w:numFmt w:val="decimal"/>
      <w:lvlText w:val="%4."/>
      <w:lvlJc w:val="left"/>
      <w:pPr>
        <w:tabs>
          <w:tab w:val="left" w:pos="2307"/>
        </w:tabs>
        <w:ind w:left="2307" w:hanging="420"/>
      </w:pPr>
    </w:lvl>
    <w:lvl w:ilvl="4" w:tentative="0">
      <w:start w:val="1"/>
      <w:numFmt w:val="lowerLetter"/>
      <w:lvlText w:val="%5)"/>
      <w:lvlJc w:val="left"/>
      <w:pPr>
        <w:tabs>
          <w:tab w:val="left" w:pos="2727"/>
        </w:tabs>
        <w:ind w:left="2727" w:hanging="420"/>
      </w:pPr>
    </w:lvl>
    <w:lvl w:ilvl="5" w:tentative="0">
      <w:start w:val="1"/>
      <w:numFmt w:val="lowerRoman"/>
      <w:lvlText w:val="%6."/>
      <w:lvlJc w:val="right"/>
      <w:pPr>
        <w:tabs>
          <w:tab w:val="left" w:pos="3147"/>
        </w:tabs>
        <w:ind w:left="3147" w:hanging="420"/>
      </w:pPr>
    </w:lvl>
    <w:lvl w:ilvl="6" w:tentative="0">
      <w:start w:val="1"/>
      <w:numFmt w:val="decimal"/>
      <w:lvlText w:val="%7."/>
      <w:lvlJc w:val="left"/>
      <w:pPr>
        <w:tabs>
          <w:tab w:val="left" w:pos="3567"/>
        </w:tabs>
        <w:ind w:left="3567" w:hanging="420"/>
      </w:pPr>
    </w:lvl>
    <w:lvl w:ilvl="7" w:tentative="0">
      <w:start w:val="1"/>
      <w:numFmt w:val="lowerLetter"/>
      <w:lvlText w:val="%8)"/>
      <w:lvlJc w:val="left"/>
      <w:pPr>
        <w:tabs>
          <w:tab w:val="left" w:pos="3987"/>
        </w:tabs>
        <w:ind w:left="3987" w:hanging="420"/>
      </w:pPr>
    </w:lvl>
    <w:lvl w:ilvl="8" w:tentative="0">
      <w:start w:val="1"/>
      <w:numFmt w:val="lowerRoman"/>
      <w:lvlText w:val="%9."/>
      <w:lvlJc w:val="right"/>
      <w:pPr>
        <w:tabs>
          <w:tab w:val="left" w:pos="4407"/>
        </w:tabs>
        <w:ind w:left="4407"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attachedTemplate r:id="rId1"/>
  <w:documentProtection w:enforcement="0"/>
  <w:defaultTabStop w:val="420"/>
  <w:evenAndOddHeaders w:val="1"/>
  <w:drawingGridHorizontalSpacing w:val="158"/>
  <w:drawingGridVerticalSpacing w:val="291"/>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5MDFjMjkzYTNjYjA3NDVmNTQ4YjMzZDYyZWI1YWUifQ=="/>
  </w:docVars>
  <w:rsids>
    <w:rsidRoot w:val="00FF358B"/>
    <w:rsid w:val="000011EB"/>
    <w:rsid w:val="00004058"/>
    <w:rsid w:val="000043A3"/>
    <w:rsid w:val="00010BCB"/>
    <w:rsid w:val="00011BD7"/>
    <w:rsid w:val="0007710A"/>
    <w:rsid w:val="00077BA6"/>
    <w:rsid w:val="00092DBD"/>
    <w:rsid w:val="00094AB6"/>
    <w:rsid w:val="000A551C"/>
    <w:rsid w:val="000B0BA9"/>
    <w:rsid w:val="000B3FB9"/>
    <w:rsid w:val="000B5C8D"/>
    <w:rsid w:val="000B756E"/>
    <w:rsid w:val="000C31BC"/>
    <w:rsid w:val="000D0B49"/>
    <w:rsid w:val="000E150B"/>
    <w:rsid w:val="000E362A"/>
    <w:rsid w:val="00104C6F"/>
    <w:rsid w:val="001151A4"/>
    <w:rsid w:val="00117346"/>
    <w:rsid w:val="00117539"/>
    <w:rsid w:val="001279A8"/>
    <w:rsid w:val="0015474D"/>
    <w:rsid w:val="001649D8"/>
    <w:rsid w:val="001671E5"/>
    <w:rsid w:val="00171838"/>
    <w:rsid w:val="00177DED"/>
    <w:rsid w:val="001851DF"/>
    <w:rsid w:val="00185A6C"/>
    <w:rsid w:val="00193FB2"/>
    <w:rsid w:val="001A447F"/>
    <w:rsid w:val="001B11DF"/>
    <w:rsid w:val="001D307E"/>
    <w:rsid w:val="001D3A09"/>
    <w:rsid w:val="001E1E9A"/>
    <w:rsid w:val="00200649"/>
    <w:rsid w:val="00201C66"/>
    <w:rsid w:val="00250057"/>
    <w:rsid w:val="0025247C"/>
    <w:rsid w:val="00256EA2"/>
    <w:rsid w:val="002663BF"/>
    <w:rsid w:val="00293F64"/>
    <w:rsid w:val="002A5224"/>
    <w:rsid w:val="002B1523"/>
    <w:rsid w:val="002B6B7D"/>
    <w:rsid w:val="002C5D4A"/>
    <w:rsid w:val="002E547F"/>
    <w:rsid w:val="002F1F82"/>
    <w:rsid w:val="003037D6"/>
    <w:rsid w:val="0030655D"/>
    <w:rsid w:val="00330727"/>
    <w:rsid w:val="00330E10"/>
    <w:rsid w:val="003353D4"/>
    <w:rsid w:val="003465D2"/>
    <w:rsid w:val="003531D0"/>
    <w:rsid w:val="0035391D"/>
    <w:rsid w:val="00357934"/>
    <w:rsid w:val="0036428B"/>
    <w:rsid w:val="0037035F"/>
    <w:rsid w:val="00376849"/>
    <w:rsid w:val="00396EE3"/>
    <w:rsid w:val="003A1F1C"/>
    <w:rsid w:val="003A6744"/>
    <w:rsid w:val="003B5CB5"/>
    <w:rsid w:val="003E69FE"/>
    <w:rsid w:val="003F467B"/>
    <w:rsid w:val="00412C22"/>
    <w:rsid w:val="0042038A"/>
    <w:rsid w:val="0045754D"/>
    <w:rsid w:val="004642BD"/>
    <w:rsid w:val="00464303"/>
    <w:rsid w:val="0047105E"/>
    <w:rsid w:val="0048374C"/>
    <w:rsid w:val="0049263A"/>
    <w:rsid w:val="00497F5A"/>
    <w:rsid w:val="004A042A"/>
    <w:rsid w:val="004B05B9"/>
    <w:rsid w:val="004B06ED"/>
    <w:rsid w:val="004B1B57"/>
    <w:rsid w:val="004B3DAF"/>
    <w:rsid w:val="004C0122"/>
    <w:rsid w:val="004D0945"/>
    <w:rsid w:val="004D3088"/>
    <w:rsid w:val="004E1506"/>
    <w:rsid w:val="004F3A9F"/>
    <w:rsid w:val="00500619"/>
    <w:rsid w:val="00502E28"/>
    <w:rsid w:val="0050326D"/>
    <w:rsid w:val="00521CF2"/>
    <w:rsid w:val="00554E1F"/>
    <w:rsid w:val="00555439"/>
    <w:rsid w:val="005574A1"/>
    <w:rsid w:val="00586F5E"/>
    <w:rsid w:val="005877BE"/>
    <w:rsid w:val="00592B35"/>
    <w:rsid w:val="00593B3A"/>
    <w:rsid w:val="00597563"/>
    <w:rsid w:val="005C63E4"/>
    <w:rsid w:val="005D0C3C"/>
    <w:rsid w:val="005D27D3"/>
    <w:rsid w:val="005E2F40"/>
    <w:rsid w:val="00624858"/>
    <w:rsid w:val="00641647"/>
    <w:rsid w:val="00646F92"/>
    <w:rsid w:val="00650663"/>
    <w:rsid w:val="006527D3"/>
    <w:rsid w:val="0065433A"/>
    <w:rsid w:val="00656CE8"/>
    <w:rsid w:val="00657EB0"/>
    <w:rsid w:val="00663751"/>
    <w:rsid w:val="00665F3E"/>
    <w:rsid w:val="00680B41"/>
    <w:rsid w:val="0068332A"/>
    <w:rsid w:val="006A3A31"/>
    <w:rsid w:val="006D05E4"/>
    <w:rsid w:val="006D1B9A"/>
    <w:rsid w:val="006D783B"/>
    <w:rsid w:val="006E536F"/>
    <w:rsid w:val="00720551"/>
    <w:rsid w:val="00725292"/>
    <w:rsid w:val="00726445"/>
    <w:rsid w:val="00731968"/>
    <w:rsid w:val="0073568F"/>
    <w:rsid w:val="00761204"/>
    <w:rsid w:val="00783836"/>
    <w:rsid w:val="00784ADD"/>
    <w:rsid w:val="007867DD"/>
    <w:rsid w:val="00795F68"/>
    <w:rsid w:val="007B2127"/>
    <w:rsid w:val="007B41E5"/>
    <w:rsid w:val="007D43D7"/>
    <w:rsid w:val="007D6CEA"/>
    <w:rsid w:val="007E1275"/>
    <w:rsid w:val="007E54C0"/>
    <w:rsid w:val="007E6112"/>
    <w:rsid w:val="007F2A93"/>
    <w:rsid w:val="00806074"/>
    <w:rsid w:val="008119AF"/>
    <w:rsid w:val="00815443"/>
    <w:rsid w:val="0082384A"/>
    <w:rsid w:val="00835B83"/>
    <w:rsid w:val="00855BB7"/>
    <w:rsid w:val="008676C9"/>
    <w:rsid w:val="00873A72"/>
    <w:rsid w:val="008A648D"/>
    <w:rsid w:val="008D3F64"/>
    <w:rsid w:val="008E4578"/>
    <w:rsid w:val="008E790D"/>
    <w:rsid w:val="008F1A8A"/>
    <w:rsid w:val="00910F69"/>
    <w:rsid w:val="00927CE7"/>
    <w:rsid w:val="009343F0"/>
    <w:rsid w:val="00946AB7"/>
    <w:rsid w:val="009544FD"/>
    <w:rsid w:val="00963CF0"/>
    <w:rsid w:val="009860ED"/>
    <w:rsid w:val="00990745"/>
    <w:rsid w:val="00996ACB"/>
    <w:rsid w:val="009A12FE"/>
    <w:rsid w:val="009A4006"/>
    <w:rsid w:val="009A7AE1"/>
    <w:rsid w:val="009B3336"/>
    <w:rsid w:val="009C13B5"/>
    <w:rsid w:val="009C3117"/>
    <w:rsid w:val="009C4AB4"/>
    <w:rsid w:val="009F1085"/>
    <w:rsid w:val="009F49B3"/>
    <w:rsid w:val="00A06498"/>
    <w:rsid w:val="00A2118F"/>
    <w:rsid w:val="00A2228C"/>
    <w:rsid w:val="00A3545F"/>
    <w:rsid w:val="00A42D5E"/>
    <w:rsid w:val="00A56AA0"/>
    <w:rsid w:val="00A619E3"/>
    <w:rsid w:val="00A64A26"/>
    <w:rsid w:val="00A66763"/>
    <w:rsid w:val="00A83409"/>
    <w:rsid w:val="00A84695"/>
    <w:rsid w:val="00A94790"/>
    <w:rsid w:val="00AA4ECC"/>
    <w:rsid w:val="00AB141C"/>
    <w:rsid w:val="00AB439C"/>
    <w:rsid w:val="00AB4D6F"/>
    <w:rsid w:val="00AB7B57"/>
    <w:rsid w:val="00AC2516"/>
    <w:rsid w:val="00AC2BA9"/>
    <w:rsid w:val="00AE2491"/>
    <w:rsid w:val="00AE42A9"/>
    <w:rsid w:val="00B02548"/>
    <w:rsid w:val="00B076B8"/>
    <w:rsid w:val="00B1546A"/>
    <w:rsid w:val="00B171E0"/>
    <w:rsid w:val="00B21DF0"/>
    <w:rsid w:val="00B26C31"/>
    <w:rsid w:val="00B37125"/>
    <w:rsid w:val="00B41AB5"/>
    <w:rsid w:val="00B41E2F"/>
    <w:rsid w:val="00B41EE6"/>
    <w:rsid w:val="00B5216C"/>
    <w:rsid w:val="00B87BD0"/>
    <w:rsid w:val="00B963B3"/>
    <w:rsid w:val="00BB4307"/>
    <w:rsid w:val="00BB471B"/>
    <w:rsid w:val="00BF0878"/>
    <w:rsid w:val="00C010B0"/>
    <w:rsid w:val="00C21997"/>
    <w:rsid w:val="00C25B30"/>
    <w:rsid w:val="00C276C5"/>
    <w:rsid w:val="00C27F53"/>
    <w:rsid w:val="00C334E9"/>
    <w:rsid w:val="00C428FC"/>
    <w:rsid w:val="00C50EE0"/>
    <w:rsid w:val="00C53D10"/>
    <w:rsid w:val="00C56E7B"/>
    <w:rsid w:val="00C60702"/>
    <w:rsid w:val="00C864ED"/>
    <w:rsid w:val="00C96C5E"/>
    <w:rsid w:val="00CA4178"/>
    <w:rsid w:val="00CA48EA"/>
    <w:rsid w:val="00CA5EDA"/>
    <w:rsid w:val="00CB0360"/>
    <w:rsid w:val="00CB113F"/>
    <w:rsid w:val="00CC2BA8"/>
    <w:rsid w:val="00CC2F65"/>
    <w:rsid w:val="00CC4F47"/>
    <w:rsid w:val="00CC5C33"/>
    <w:rsid w:val="00CF4F1D"/>
    <w:rsid w:val="00D11FCE"/>
    <w:rsid w:val="00D15871"/>
    <w:rsid w:val="00D167E1"/>
    <w:rsid w:val="00D16B0F"/>
    <w:rsid w:val="00D21BB9"/>
    <w:rsid w:val="00D30E41"/>
    <w:rsid w:val="00D42322"/>
    <w:rsid w:val="00D45125"/>
    <w:rsid w:val="00D504F3"/>
    <w:rsid w:val="00D51B84"/>
    <w:rsid w:val="00D6388F"/>
    <w:rsid w:val="00D82355"/>
    <w:rsid w:val="00DA3A80"/>
    <w:rsid w:val="00DD0655"/>
    <w:rsid w:val="00DD5DA6"/>
    <w:rsid w:val="00DE0DCA"/>
    <w:rsid w:val="00DE3428"/>
    <w:rsid w:val="00DE3ECF"/>
    <w:rsid w:val="00E12448"/>
    <w:rsid w:val="00E16B61"/>
    <w:rsid w:val="00E22258"/>
    <w:rsid w:val="00E2792F"/>
    <w:rsid w:val="00E30BDA"/>
    <w:rsid w:val="00E409FF"/>
    <w:rsid w:val="00E44EC2"/>
    <w:rsid w:val="00E47684"/>
    <w:rsid w:val="00E5194D"/>
    <w:rsid w:val="00E6136C"/>
    <w:rsid w:val="00E8265A"/>
    <w:rsid w:val="00E86047"/>
    <w:rsid w:val="00E9418F"/>
    <w:rsid w:val="00E96769"/>
    <w:rsid w:val="00EB25AA"/>
    <w:rsid w:val="00EB3EEE"/>
    <w:rsid w:val="00ED0C2A"/>
    <w:rsid w:val="00ED4CE6"/>
    <w:rsid w:val="00F006A0"/>
    <w:rsid w:val="00F01808"/>
    <w:rsid w:val="00F04A92"/>
    <w:rsid w:val="00F3482B"/>
    <w:rsid w:val="00F36909"/>
    <w:rsid w:val="00F446CF"/>
    <w:rsid w:val="00F62BE2"/>
    <w:rsid w:val="00F63707"/>
    <w:rsid w:val="00F67A50"/>
    <w:rsid w:val="00F765E5"/>
    <w:rsid w:val="00F80252"/>
    <w:rsid w:val="00F9021A"/>
    <w:rsid w:val="00FA1C52"/>
    <w:rsid w:val="00FB3B25"/>
    <w:rsid w:val="00FB5D05"/>
    <w:rsid w:val="00FC28A0"/>
    <w:rsid w:val="00FD5971"/>
    <w:rsid w:val="00FE6084"/>
    <w:rsid w:val="00FF22B2"/>
    <w:rsid w:val="00FF358B"/>
    <w:rsid w:val="02276B3D"/>
    <w:rsid w:val="111C3E56"/>
    <w:rsid w:val="626E59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nhideWhenUsed="0" w:uiPriority="0" w:semiHidden="0" w:name="Date"/>
    <w:lsdException w:uiPriority="99" w:name="Body Text First Indent"/>
    <w:lsdException w:uiPriority="99" w:name="Body Text First Indent 2"/>
    <w:lsdException w:uiPriority="99" w:name="Note Heading"/>
    <w:lsdException w:unhideWhenUsed="0" w:uiPriority="0" w:name="Body Text 2"/>
    <w:lsdException w:unhideWhenUsed="0" w:uiPriority="0" w:name="Body Text 3"/>
    <w:lsdException w:unhideWhenUsed="0" w:uiPriority="0" w:name="Body Text Indent 2"/>
    <w:lsdException w:unhideWhenUsed="0" w:uiPriority="0"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sz w:val="32"/>
      <w:szCs w:val="32"/>
      <w:lang w:val="en-US" w:eastAsia="zh-CN" w:bidi="ar-SA"/>
    </w:rPr>
  </w:style>
  <w:style w:type="paragraph" w:styleId="2">
    <w:name w:val="heading 1"/>
    <w:basedOn w:val="1"/>
    <w:next w:val="1"/>
    <w:link w:val="34"/>
    <w:qFormat/>
    <w:uiPriority w:val="9"/>
    <w:pPr>
      <w:keepNext/>
      <w:keepLines/>
      <w:spacing w:before="340" w:after="330" w:line="578" w:lineRule="auto"/>
      <w:outlineLvl w:val="0"/>
    </w:pPr>
    <w:rPr>
      <w:rFonts w:ascii="Calibri" w:hAnsi="Calibri" w:eastAsia="宋体" w:cs="宋体"/>
      <w:b/>
      <w:bCs/>
      <w:kern w:val="44"/>
      <w:sz w:val="44"/>
      <w:szCs w:val="44"/>
    </w:rPr>
  </w:style>
  <w:style w:type="character" w:default="1" w:styleId="17">
    <w:name w:val="Default Paragraph Font"/>
    <w:semiHidden/>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3">
    <w:name w:val="Body Text 3"/>
    <w:basedOn w:val="1"/>
    <w:semiHidden/>
    <w:uiPriority w:val="0"/>
    <w:pPr>
      <w:spacing w:line="560" w:lineRule="atLeast"/>
      <w:ind w:right="-544" w:rightChars="-259"/>
    </w:pPr>
    <w:rPr>
      <w:rFonts w:ascii="黑体" w:eastAsia="黑体"/>
      <w:sz w:val="24"/>
    </w:rPr>
  </w:style>
  <w:style w:type="paragraph" w:styleId="4">
    <w:name w:val="Body Text"/>
    <w:basedOn w:val="1"/>
    <w:semiHidden/>
    <w:uiPriority w:val="0"/>
    <w:pPr>
      <w:adjustRightInd w:val="0"/>
      <w:snapToGrid w:val="0"/>
      <w:spacing w:line="480" w:lineRule="auto"/>
      <w:ind w:right="706" w:rightChars="310"/>
      <w:jc w:val="center"/>
    </w:pPr>
    <w:rPr>
      <w:rFonts w:ascii="宋体" w:eastAsia="宋体"/>
      <w:sz w:val="44"/>
      <w:szCs w:val="44"/>
    </w:rPr>
  </w:style>
  <w:style w:type="paragraph" w:styleId="5">
    <w:name w:val="Body Text Indent"/>
    <w:basedOn w:val="1"/>
    <w:uiPriority w:val="0"/>
    <w:pPr>
      <w:spacing w:line="580" w:lineRule="exact"/>
      <w:ind w:firstLine="624" w:firstLineChars="200"/>
    </w:pPr>
  </w:style>
  <w:style w:type="paragraph" w:styleId="6">
    <w:name w:val="Plain Text"/>
    <w:basedOn w:val="1"/>
    <w:uiPriority w:val="0"/>
    <w:rPr>
      <w:rFonts w:ascii="宋体" w:hAnsi="Courier New" w:eastAsia="宋体"/>
      <w:sz w:val="21"/>
      <w:szCs w:val="20"/>
    </w:rPr>
  </w:style>
  <w:style w:type="paragraph" w:styleId="7">
    <w:name w:val="Date"/>
    <w:basedOn w:val="1"/>
    <w:next w:val="1"/>
    <w:uiPriority w:val="0"/>
    <w:pPr>
      <w:adjustRightInd w:val="0"/>
      <w:spacing w:line="312" w:lineRule="atLeast"/>
      <w:jc w:val="right"/>
      <w:textAlignment w:val="baseline"/>
    </w:pPr>
    <w:rPr>
      <w:rFonts w:eastAsia="宋体"/>
      <w:sz w:val="21"/>
      <w:szCs w:val="20"/>
    </w:rPr>
  </w:style>
  <w:style w:type="paragraph" w:styleId="8">
    <w:name w:val="Body Text Indent 2"/>
    <w:basedOn w:val="1"/>
    <w:semiHidden/>
    <w:uiPriority w:val="0"/>
    <w:pPr>
      <w:pBdr>
        <w:top w:val="single" w:color="auto" w:sz="6" w:space="0"/>
        <w:bottom w:val="single" w:color="auto" w:sz="6" w:space="1"/>
      </w:pBdr>
      <w:spacing w:line="554" w:lineRule="exact"/>
      <w:ind w:firstLine="312" w:firstLineChars="100"/>
    </w:pPr>
  </w:style>
  <w:style w:type="paragraph" w:styleId="9">
    <w:name w:val="Balloon Text"/>
    <w:basedOn w:val="1"/>
    <w:semiHidden/>
    <w:uiPriority w:val="0"/>
    <w:rPr>
      <w:rFonts w:eastAsia="宋体"/>
      <w:sz w:val="18"/>
      <w:szCs w:val="18"/>
    </w:rPr>
  </w:style>
  <w:style w:type="paragraph" w:styleId="10">
    <w:name w:val="footer"/>
    <w:basedOn w:val="1"/>
    <w:uiPriority w:val="0"/>
    <w:pPr>
      <w:tabs>
        <w:tab w:val="center" w:pos="4153"/>
        <w:tab w:val="right" w:pos="8306"/>
      </w:tabs>
      <w:snapToGrid w:val="0"/>
      <w:jc w:val="left"/>
    </w:pPr>
    <w:rPr>
      <w:sz w:val="18"/>
      <w:szCs w:val="18"/>
    </w:rPr>
  </w:style>
  <w:style w:type="paragraph" w:styleId="11">
    <w:name w:val="header"/>
    <w:basedOn w:val="1"/>
    <w:link w:val="29"/>
    <w:uiPriority w:val="0"/>
    <w:pPr>
      <w:pBdr>
        <w:bottom w:val="single" w:color="auto" w:sz="6" w:space="1"/>
      </w:pBdr>
      <w:tabs>
        <w:tab w:val="center" w:pos="4153"/>
        <w:tab w:val="right" w:pos="8306"/>
      </w:tabs>
      <w:snapToGrid w:val="0"/>
      <w:jc w:val="center"/>
    </w:pPr>
    <w:rPr>
      <w:sz w:val="18"/>
      <w:szCs w:val="18"/>
    </w:rPr>
  </w:style>
  <w:style w:type="paragraph" w:styleId="12">
    <w:name w:val="Body Text Indent 3"/>
    <w:basedOn w:val="1"/>
    <w:semiHidden/>
    <w:uiPriority w:val="0"/>
    <w:pPr>
      <w:adjustRightInd w:val="0"/>
      <w:snapToGrid w:val="0"/>
      <w:spacing w:line="520" w:lineRule="atLeast"/>
      <w:ind w:firstLine="640" w:firstLineChars="200"/>
    </w:pPr>
    <w:rPr>
      <w:rFonts w:ascii="黑体" w:eastAsia="黑体"/>
    </w:rPr>
  </w:style>
  <w:style w:type="paragraph" w:styleId="13">
    <w:name w:val="Body Text 2"/>
    <w:basedOn w:val="1"/>
    <w:semiHidden/>
    <w:uiPriority w:val="0"/>
    <w:pPr>
      <w:spacing w:line="580" w:lineRule="exact"/>
      <w:jc w:val="center"/>
    </w:pPr>
    <w:rPr>
      <w:rFonts w:eastAsia="方正小标宋简体"/>
      <w:sz w:val="44"/>
    </w:rPr>
  </w:style>
  <w:style w:type="paragraph" w:styleId="14">
    <w:name w:val="Normal (Web)"/>
    <w:basedOn w:val="1"/>
    <w:uiPriority w:val="0"/>
    <w:pPr>
      <w:widowControl/>
      <w:spacing w:before="100" w:beforeAutospacing="1" w:after="100" w:afterAutospacing="1"/>
      <w:jc w:val="left"/>
    </w:pPr>
    <w:rPr>
      <w:rFonts w:ascii="宋体" w:hAnsi="宋体" w:eastAsia="宋体"/>
      <w:sz w:val="21"/>
      <w:szCs w:val="21"/>
    </w:rPr>
  </w:style>
  <w:style w:type="table" w:styleId="16">
    <w:name w:val="Table Grid"/>
    <w:basedOn w:val="1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8">
    <w:name w:val="Strong"/>
    <w:basedOn w:val="17"/>
    <w:qFormat/>
    <w:uiPriority w:val="0"/>
    <w:rPr>
      <w:rFonts w:ascii="Times New Roman" w:eastAsia="宋体"/>
      <w:b/>
      <w:color w:val="000000"/>
      <w:spacing w:val="0"/>
      <w:w w:val="100"/>
      <w:sz w:val="21"/>
      <w:u w:val="none" w:color="000000"/>
      <w:vertAlign w:val="baseline"/>
      <w:lang w:val="en-US" w:eastAsia="zh-CN"/>
    </w:rPr>
  </w:style>
  <w:style w:type="character" w:styleId="19">
    <w:name w:val="page number"/>
    <w:basedOn w:val="17"/>
    <w:uiPriority w:val="0"/>
  </w:style>
  <w:style w:type="character" w:customStyle="1" w:styleId="20">
    <w:name w:val="richtextmngstyle1"/>
    <w:basedOn w:val="17"/>
    <w:uiPriority w:val="0"/>
    <w:rPr>
      <w:color w:val="000000"/>
      <w:spacing w:val="20"/>
      <w:sz w:val="28"/>
      <w:szCs w:val="28"/>
      <w:u w:val="none"/>
    </w:rPr>
  </w:style>
  <w:style w:type="character" w:customStyle="1" w:styleId="21">
    <w:name w:val="unnamed21"/>
    <w:basedOn w:val="17"/>
    <w:uiPriority w:val="0"/>
    <w:rPr>
      <w:sz w:val="24"/>
      <w:szCs w:val="24"/>
      <w:u w:val="none"/>
    </w:rPr>
  </w:style>
  <w:style w:type="character" w:customStyle="1" w:styleId="22">
    <w:name w:val="10p1"/>
    <w:basedOn w:val="17"/>
    <w:uiPriority w:val="0"/>
    <w:rPr>
      <w:sz w:val="21"/>
      <w:szCs w:val="21"/>
    </w:rPr>
  </w:style>
  <w:style w:type="paragraph" w:customStyle="1" w:styleId="23">
    <w:name w:val="标题3"/>
    <w:basedOn w:val="1"/>
    <w:next w:val="1"/>
    <w:uiPriority w:val="0"/>
    <w:pPr>
      <w:autoSpaceDE w:val="0"/>
      <w:autoSpaceDN w:val="0"/>
      <w:snapToGrid w:val="0"/>
      <w:spacing w:line="590" w:lineRule="atLeast"/>
      <w:ind w:firstLine="624"/>
    </w:pPr>
    <w:rPr>
      <w:rFonts w:ascii="方正黑体_GBK" w:eastAsia="方正黑体_GBK"/>
      <w:snapToGrid w:val="0"/>
      <w:szCs w:val="20"/>
    </w:rPr>
  </w:style>
  <w:style w:type="character" w:customStyle="1" w:styleId="24">
    <w:name w:val="纯文本 Char"/>
    <w:basedOn w:val="17"/>
    <w:uiPriority w:val="0"/>
    <w:rPr>
      <w:rFonts w:ascii="宋体" w:hAnsi="Courier New"/>
      <w:kern w:val="2"/>
      <w:sz w:val="21"/>
    </w:rPr>
  </w:style>
  <w:style w:type="character" w:customStyle="1" w:styleId="25">
    <w:name w:val="p91"/>
    <w:basedOn w:val="17"/>
    <w:uiPriority w:val="0"/>
    <w:rPr>
      <w:color w:val="000000"/>
      <w:sz w:val="18"/>
      <w:szCs w:val="18"/>
      <w:u w:val="none"/>
    </w:rPr>
  </w:style>
  <w:style w:type="paragraph" w:customStyle="1" w:styleId="26">
    <w:name w:val="Char Char Char Char"/>
    <w:basedOn w:val="1"/>
    <w:uiPriority w:val="0"/>
    <w:pPr>
      <w:numPr>
        <w:ilvl w:val="0"/>
        <w:numId w:val="1"/>
      </w:numPr>
    </w:pPr>
    <w:rPr>
      <w:rFonts w:eastAsia="宋体"/>
      <w:sz w:val="24"/>
    </w:rPr>
  </w:style>
  <w:style w:type="paragraph" w:customStyle="1" w:styleId="27">
    <w:name w:val="Char2 Char Char Char"/>
    <w:basedOn w:val="1"/>
    <w:uiPriority w:val="0"/>
    <w:rPr>
      <w:rFonts w:ascii="Tahoma" w:hAnsi="Tahoma" w:eastAsia="宋体"/>
      <w:sz w:val="24"/>
      <w:szCs w:val="20"/>
    </w:rPr>
  </w:style>
  <w:style w:type="paragraph" w:customStyle="1" w:styleId="28">
    <w:name w:val="Char1"/>
    <w:basedOn w:val="1"/>
    <w:uiPriority w:val="0"/>
    <w:rPr>
      <w:rFonts w:eastAsia="宋体"/>
      <w:sz w:val="21"/>
    </w:rPr>
  </w:style>
  <w:style w:type="character" w:customStyle="1" w:styleId="29">
    <w:name w:val="页眉 Char"/>
    <w:basedOn w:val="17"/>
    <w:link w:val="11"/>
    <w:uiPriority w:val="0"/>
    <w:rPr>
      <w:rFonts w:eastAsia="文鼎CS仿宋体"/>
      <w:spacing w:val="-4"/>
      <w:kern w:val="2"/>
      <w:sz w:val="18"/>
      <w:szCs w:val="18"/>
    </w:rPr>
  </w:style>
  <w:style w:type="paragraph" w:customStyle="1" w:styleId="30">
    <w:name w:val="普通 (Web)"/>
    <w:basedOn w:val="1"/>
    <w:uiPriority w:val="0"/>
    <w:pPr>
      <w:widowControl/>
      <w:spacing w:before="100" w:beforeAutospacing="1" w:after="100" w:afterAutospacing="1"/>
      <w:jc w:val="left"/>
    </w:pPr>
    <w:rPr>
      <w:rFonts w:ascii="宋体" w:hAnsi="宋体" w:eastAsia="宋体"/>
      <w:sz w:val="24"/>
    </w:rPr>
  </w:style>
  <w:style w:type="paragraph" w:customStyle="1" w:styleId="31">
    <w:name w:val="标题1"/>
    <w:basedOn w:val="1"/>
    <w:next w:val="1"/>
    <w:uiPriority w:val="0"/>
    <w:pPr>
      <w:tabs>
        <w:tab w:val="left" w:pos="9193"/>
        <w:tab w:val="left" w:pos="9827"/>
      </w:tabs>
      <w:autoSpaceDE w:val="0"/>
      <w:autoSpaceDN w:val="0"/>
      <w:snapToGrid w:val="0"/>
      <w:spacing w:line="700" w:lineRule="atLeast"/>
      <w:jc w:val="center"/>
    </w:pPr>
    <w:rPr>
      <w:rFonts w:ascii="汉鼎简大宋" w:eastAsia="汉鼎简大宋"/>
      <w:sz w:val="44"/>
      <w:szCs w:val="20"/>
    </w:rPr>
  </w:style>
  <w:style w:type="paragraph" w:customStyle="1" w:styleId="32">
    <w:name w:val="Char Char Char Char Char Char Char"/>
    <w:basedOn w:val="1"/>
    <w:uiPriority w:val="0"/>
    <w:pPr>
      <w:widowControl/>
      <w:spacing w:after="160" w:line="240" w:lineRule="exact"/>
      <w:jc w:val="left"/>
    </w:pPr>
    <w:rPr>
      <w:rFonts w:eastAsia="宋体"/>
      <w:sz w:val="21"/>
      <w:szCs w:val="20"/>
    </w:rPr>
  </w:style>
  <w:style w:type="paragraph" w:customStyle="1" w:styleId="33">
    <w:name w:val="段"/>
    <w:next w:val="1"/>
    <w:qFormat/>
    <w:uiPriority w:val="0"/>
    <w:pPr>
      <w:autoSpaceDE w:val="0"/>
      <w:autoSpaceDN w:val="0"/>
      <w:ind w:firstLine="420" w:firstLineChars="200"/>
      <w:jc w:val="both"/>
    </w:pPr>
    <w:rPr>
      <w:rFonts w:ascii="宋体" w:hAnsi="Times New Roman" w:eastAsia="宋体" w:cs="Times New Roman"/>
      <w:kern w:val="2"/>
      <w:sz w:val="21"/>
      <w:szCs w:val="22"/>
      <w:lang w:val="en-US" w:eastAsia="zh-CN" w:bidi="ar-SA"/>
    </w:rPr>
  </w:style>
  <w:style w:type="character" w:customStyle="1" w:styleId="34">
    <w:name w:val="标题 1 Char"/>
    <w:basedOn w:val="17"/>
    <w:link w:val="2"/>
    <w:uiPriority w:val="9"/>
    <w:rPr>
      <w:rFonts w:ascii="Calibri" w:hAnsi="Calibri" w:cs="宋体"/>
      <w:b/>
      <w:bCs/>
      <w:kern w:val="44"/>
      <w:sz w:val="44"/>
      <w:szCs w:val="4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awen\AppData\Roaming\Microsoft\Templates\&#33487;&#24220;&#21150;.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苏府办</Template>
  <Company>jgys</Company>
  <Pages>29</Pages>
  <Words>14821</Words>
  <Characters>14954</Characters>
  <Lines>110</Lines>
  <Paragraphs>30</Paragraphs>
  <TotalTime>9</TotalTime>
  <ScaleCrop>false</ScaleCrop>
  <LinksUpToDate>false</LinksUpToDate>
  <CharactersWithSpaces>14972</CharactersWithSpaces>
  <Application>WPS Office_11.1.0.11691_F1E327BC-269C-435d-A152-05C5408002CA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2022-05-19T06:22:00Z</dcterms:created>
  <dc:creator>王悦</dc:creator>
  <cp:lastModifiedBy>chris</cp:lastModifiedBy>
  <cp:lastPrinted>2013-07-12T06:11:00Z</cp:lastPrinted>
  <dcterms:modified xsi:type="dcterms:W3CDTF">2022-05-20T02:36:06Z</dcterms:modified>
  <dc:title>苏府办</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C467DC8B233140E49A25E4C7A491675F</vt:lpwstr>
  </property>
</Properties>
</file>