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820"/>
        </w:tabs>
        <w:kinsoku/>
        <w:wordWrap/>
        <w:overflowPunct/>
        <w:topLinePunct w:val="0"/>
        <w:autoSpaceDE/>
        <w:autoSpaceDN/>
        <w:bidi w:val="0"/>
        <w:adjustRightInd/>
        <w:snapToGrid/>
        <w:spacing w:line="800" w:lineRule="exact"/>
        <w:ind w:left="320" w:leftChars="100" w:right="320" w:rightChars="100" w:firstLine="0" w:firstLineChars="0"/>
        <w:jc w:val="distribute"/>
        <w:textAlignment w:val="auto"/>
        <w:rPr>
          <w:rFonts w:eastAsia="方正小标宋_GBK"/>
          <w:b w:val="0"/>
          <w:bCs w:val="0"/>
          <w:color w:val="FF0000"/>
          <w:w w:val="90"/>
          <w:sz w:val="66"/>
          <w:szCs w:val="66"/>
        </w:rPr>
      </w:pPr>
      <w:bookmarkStart w:id="0" w:name="OLE_LINK2"/>
      <w:bookmarkStart w:id="1" w:name="OLE_LINK3"/>
      <w:bookmarkStart w:id="2" w:name="OLE_LINK10"/>
    </w:p>
    <w:p>
      <w:pPr>
        <w:keepNext w:val="0"/>
        <w:keepLines w:val="0"/>
        <w:pageBreakBefore w:val="0"/>
        <w:widowControl w:val="0"/>
        <w:tabs>
          <w:tab w:val="left" w:pos="8820"/>
        </w:tabs>
        <w:kinsoku/>
        <w:wordWrap/>
        <w:overflowPunct/>
        <w:topLinePunct w:val="0"/>
        <w:autoSpaceDE/>
        <w:autoSpaceDN/>
        <w:bidi w:val="0"/>
        <w:adjustRightInd/>
        <w:snapToGrid/>
        <w:spacing w:before="313" w:beforeLines="100" w:line="1200" w:lineRule="exact"/>
        <w:ind w:left="160" w:leftChars="50" w:right="160" w:rightChars="50" w:firstLine="0" w:firstLineChars="0"/>
        <w:jc w:val="distribute"/>
        <w:textAlignment w:val="auto"/>
        <w:rPr>
          <w:rFonts w:hint="eastAsia" w:eastAsia="方正小标宋_GBK"/>
          <w:b w:val="0"/>
          <w:bCs w:val="0"/>
          <w:color w:val="FF0000"/>
          <w:spacing w:val="-45"/>
          <w:w w:val="70"/>
          <w:sz w:val="96"/>
          <w:szCs w:val="96"/>
          <w:lang w:eastAsia="zh-CN"/>
        </w:rPr>
      </w:pPr>
      <w:r>
        <w:rPr>
          <w:rFonts w:eastAsia="方正小标宋_GBK"/>
          <w:b w:val="0"/>
          <w:bCs w:val="0"/>
          <w:color w:val="FF0000"/>
          <w:spacing w:val="-45"/>
          <w:w w:val="70"/>
          <w:sz w:val="96"/>
          <w:szCs w:val="96"/>
        </w:rPr>
        <w:t>苏州市</w:t>
      </w:r>
      <w:r>
        <w:rPr>
          <w:rFonts w:hint="eastAsia" w:eastAsia="方正小标宋_GBK"/>
          <w:b w:val="0"/>
          <w:bCs w:val="0"/>
          <w:color w:val="FF0000"/>
          <w:spacing w:val="-45"/>
          <w:w w:val="70"/>
          <w:sz w:val="96"/>
          <w:szCs w:val="96"/>
          <w:lang w:eastAsia="zh-CN"/>
        </w:rPr>
        <w:t>老龄工作委员会办公室</w:t>
      </w:r>
    </w:p>
    <w:p>
      <w:pPr>
        <w:pStyle w:val="4"/>
        <w:rPr>
          <w:rFonts w:hint="eastAsia" w:eastAsia="方正小标宋_GBK"/>
          <w:b w:val="0"/>
          <w:bCs w:val="0"/>
          <w:color w:val="FF0000"/>
          <w:w w:val="90"/>
          <w:sz w:val="66"/>
          <w:szCs w:val="66"/>
          <w:lang w:eastAsia="zh-CN"/>
        </w:rPr>
      </w:pPr>
    </w:p>
    <w:p>
      <w:pPr>
        <w:pStyle w:val="3"/>
        <w:ind w:left="0" w:leftChars="0" w:firstLine="0" w:firstLineChars="0"/>
        <w:jc w:val="center"/>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苏州老龄办〔2026〕4号</w:t>
      </w:r>
    </w:p>
    <w:p>
      <w:pPr>
        <w:spacing w:line="480" w:lineRule="exact"/>
        <w:jc w:val="right"/>
        <w:rPr>
          <w:rFonts w:eastAsia="仿宋_GB2312"/>
          <w:sz w:val="32"/>
          <w:szCs w:val="32"/>
        </w:rPr>
      </w:pPr>
      <w: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142875</wp:posOffset>
                </wp:positionV>
                <wp:extent cx="5553075" cy="635"/>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553075" cy="635"/>
                        </a:xfrm>
                        <a:prstGeom prst="line">
                          <a:avLst/>
                        </a:prstGeom>
                        <a:noFill/>
                        <a:ln w="15875" cmpd="sng">
                          <a:solidFill>
                            <a:srgbClr val="FF0000"/>
                          </a:solidFill>
                          <a:round/>
                        </a:ln>
                        <a:effectLst/>
                      </wps:spPr>
                      <wps:bodyPr/>
                    </wps:wsp>
                  </a:graphicData>
                </a:graphic>
              </wp:anchor>
            </w:drawing>
          </mc:Choice>
          <mc:Fallback>
            <w:pict>
              <v:line id="_x0000_s1026" o:spid="_x0000_s1026" o:spt="20" style="position:absolute;left:0pt;margin-left:-1.25pt;margin-top:11.25pt;height:0.05pt;width:437.25pt;z-index:251661312;mso-width-relative:page;mso-height-relative:page;" filled="f" stroked="t" coordsize="21600,21600" o:gfxdata="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HTc7x1gAAAAgBAAAPAAAAAAAAAAEAIAAAACIAAABkcnMvZG93bnJldi54bWxQSwECFAAU&#10;AAAACACHTuJAbXg3HvMBAADGAwAADgAAAAAAAAABACAAAAAlAQAAZHJzL2Uyb0RvYy54bWxQSwUG&#10;AAAAAAYABgBZAQAAigUAAAAA&#10;">
                <v:fill on="f" focussize="0,0"/>
                <v:stroke weight="1.25pt" color="#FF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92710</wp:posOffset>
                </wp:positionV>
                <wp:extent cx="5581650" cy="3810"/>
                <wp:effectExtent l="0" t="19050" r="0" b="3429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581650" cy="3810"/>
                        </a:xfrm>
                        <a:prstGeom prst="line">
                          <a:avLst/>
                        </a:prstGeom>
                        <a:noFill/>
                        <a:ln w="38100" cmpd="sng">
                          <a:solidFill>
                            <a:srgbClr val="FF0000"/>
                          </a:solidFill>
                          <a:round/>
                        </a:ln>
                        <a:effectLst/>
                      </wps:spPr>
                      <wps:bodyPr/>
                    </wps:wsp>
                  </a:graphicData>
                </a:graphic>
              </wp:anchor>
            </w:drawing>
          </mc:Choice>
          <mc:Fallback>
            <w:pict>
              <v:line id="_x0000_s1026" o:spid="_x0000_s1026" o:spt="20" style="position:absolute;left:0pt;margin-left:-2.15pt;margin-top:7.3pt;height:0.3pt;width:439.5pt;z-index:251660288;mso-width-relative:page;mso-height-relative:page;" filled="f" stroked="t" coordsize="21600,21600" o:gfxdata="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Za/Yq2wAAAAgBAAAPAAAAAAAAAAEAIAAAACIAAABkcnMvZG93bnJldi54bWxQ&#10;SwECFAAUAAAACACHTuJAj5LS+/QBAADHAwAADgAAAAAAAAABACAAAAAqAQAAZHJzL2Uyb0RvYy54&#10;bWxQSwUGAAAAAAYABgBZAQAAkAUAAAAA&#10;">
                <v:fill on="f" focussize="0,0"/>
                <v:stroke weight="3pt" color="#FF0000" joinstyle="round"/>
                <v:imagedata o:title=""/>
                <o:lock v:ext="edit" aspectratio="f"/>
              </v:line>
            </w:pict>
          </mc:Fallback>
        </mc:AlternateContent>
      </w:r>
    </w:p>
    <w:p>
      <w:pPr>
        <w:keepNext w:val="0"/>
        <w:keepLines w:val="0"/>
        <w:pageBreakBefore w:val="0"/>
        <w:widowControl w:val="0"/>
        <w:kinsoku/>
        <w:wordWrap/>
        <w:overflowPunct w:val="0"/>
        <w:topLinePunct w:val="0"/>
        <w:autoSpaceDE/>
        <w:autoSpaceDN/>
        <w:bidi w:val="0"/>
        <w:adjustRightInd/>
        <w:snapToGrid/>
        <w:spacing w:line="580" w:lineRule="exact"/>
        <w:jc w:val="center"/>
        <w:textAlignment w:val="auto"/>
        <w:rPr>
          <w:rFonts w:hint="default" w:ascii="Times New Roman" w:hAnsi="Times New Roman" w:eastAsia="方正小标宋_GBK" w:cs="Times New Roman"/>
          <w:sz w:val="44"/>
          <w:szCs w:val="44"/>
          <w:lang w:eastAsia="zh-CN"/>
        </w:rPr>
      </w:pPr>
    </w:p>
    <w:bookmarkEnd w:id="0"/>
    <w:bookmarkEnd w:id="1"/>
    <w:p>
      <w:pPr>
        <w:pStyle w:val="2"/>
        <w:keepNext/>
        <w:keepLines/>
        <w:pageBreakBefore w:val="0"/>
        <w:widowControl w:val="0"/>
        <w:kinsoku/>
        <w:wordWrap/>
        <w:overflowPunct w:val="0"/>
        <w:topLinePunct w:val="0"/>
        <w:autoSpaceDE/>
        <w:autoSpaceDN/>
        <w:bidi w:val="0"/>
        <w:adjustRightInd/>
        <w:snapToGrid/>
        <w:spacing w:before="0" w:after="0" w:line="580" w:lineRule="exact"/>
        <w:ind w:left="0" w:leftChars="0" w:firstLine="0" w:firstLineChars="0"/>
        <w:jc w:val="center"/>
        <w:textAlignment w:val="auto"/>
        <w:rPr>
          <w:rFonts w:hint="default" w:ascii="方正小标宋_GBK" w:hAnsi="方正小标宋_GBK" w:eastAsia="方正小标宋_GBK" w:cs="方正小标宋_GBK"/>
          <w:b w:val="0"/>
          <w:bCs/>
          <w:lang w:val="en-US" w:eastAsia="zh-CN"/>
        </w:rPr>
      </w:pPr>
      <w:bookmarkStart w:id="3" w:name="_Toc13914"/>
      <w:bookmarkStart w:id="4" w:name="OLE_LINK9"/>
      <w:r>
        <w:rPr>
          <w:rFonts w:hint="default" w:ascii="方正小标宋_GBK" w:hAnsi="方正小标宋_GBK" w:eastAsia="方正小标宋_GBK" w:cs="方正小标宋_GBK"/>
          <w:b w:val="0"/>
          <w:bCs/>
          <w:lang w:val="en-US" w:eastAsia="zh-CN"/>
        </w:rPr>
        <w:t>关于常态化开展“苏式颐养·银龄乐享”</w:t>
      </w:r>
      <w:bookmarkEnd w:id="3"/>
    </w:p>
    <w:p>
      <w:pPr>
        <w:pStyle w:val="2"/>
        <w:keepNext/>
        <w:keepLines/>
        <w:pageBreakBefore w:val="0"/>
        <w:widowControl w:val="0"/>
        <w:kinsoku/>
        <w:wordWrap/>
        <w:overflowPunct w:val="0"/>
        <w:topLinePunct w:val="0"/>
        <w:autoSpaceDE/>
        <w:autoSpaceDN/>
        <w:bidi w:val="0"/>
        <w:adjustRightInd/>
        <w:snapToGrid/>
        <w:spacing w:before="0" w:after="0" w:line="580" w:lineRule="exact"/>
        <w:ind w:left="0" w:leftChars="0" w:firstLine="0" w:firstLineChars="0"/>
        <w:jc w:val="center"/>
        <w:textAlignment w:val="auto"/>
        <w:rPr>
          <w:rFonts w:hint="default" w:ascii="方正小标宋_GBK" w:hAnsi="方正小标宋_GBK" w:eastAsia="方正小标宋_GBK" w:cs="方正小标宋_GBK"/>
          <w:b w:val="0"/>
          <w:bCs/>
          <w:spacing w:val="-11"/>
          <w:sz w:val="44"/>
          <w:lang w:val="en-US" w:eastAsia="zh-CN"/>
        </w:rPr>
      </w:pPr>
      <w:bookmarkStart w:id="5" w:name="_Toc5269"/>
      <w:r>
        <w:rPr>
          <w:rFonts w:hint="default" w:ascii="方正小标宋_GBK" w:hAnsi="方正小标宋_GBK" w:eastAsia="方正小标宋_GBK" w:cs="方正小标宋_GBK"/>
          <w:b w:val="0"/>
          <w:bCs/>
          <w:spacing w:val="-11"/>
          <w:sz w:val="44"/>
          <w:lang w:val="en-US" w:eastAsia="zh-CN"/>
        </w:rPr>
        <w:t>涉老文体活动丰富老年人精神文化生活的通知</w:t>
      </w:r>
      <w:bookmarkEnd w:id="5"/>
    </w:p>
    <w:bookmarkEnd w:id="4"/>
    <w:p>
      <w:pPr>
        <w:keepNext w:val="0"/>
        <w:keepLines w:val="0"/>
        <w:pageBreakBefore w:val="0"/>
        <w:widowControl w:val="0"/>
        <w:kinsoku/>
        <w:wordWrap/>
        <w:overflowPunct w:val="0"/>
        <w:topLinePunct w:val="0"/>
        <w:autoSpaceDE/>
        <w:autoSpaceDN/>
        <w:bidi w:val="0"/>
        <w:adjustRightInd/>
        <w:snapToGrid/>
        <w:spacing w:line="580" w:lineRule="exact"/>
        <w:jc w:val="both"/>
        <w:textAlignment w:val="auto"/>
        <w:rPr>
          <w:rFonts w:hint="default" w:ascii="Times New Roman" w:hAnsi="Times New Roman" w:eastAsia="仿宋_GB2312" w:cs="Times New Roman"/>
          <w:sz w:val="32"/>
          <w:szCs w:val="32"/>
          <w:highlight w:val="none"/>
          <w:lang w:eastAsia="zh-CN"/>
        </w:rPr>
      </w:pP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市老龄委各成员单位，各县级市（区）老龄办，各相关社会</w:t>
      </w:r>
      <w:r>
        <w:rPr>
          <w:rFonts w:hint="eastAsia" w:ascii="Times New Roman" w:hAnsi="Times New Roman" w:eastAsia="仿宋_GB2312" w:cs="Times New Roman"/>
          <w:sz w:val="32"/>
          <w:szCs w:val="32"/>
          <w:highlight w:val="none"/>
          <w:lang w:eastAsia="zh-CN"/>
        </w:rPr>
        <w:t>组织、</w:t>
      </w:r>
      <w:r>
        <w:rPr>
          <w:rFonts w:hint="default" w:ascii="Times New Roman" w:hAnsi="Times New Roman" w:eastAsia="仿宋_GB2312" w:cs="Times New Roman"/>
          <w:sz w:val="32"/>
          <w:szCs w:val="32"/>
          <w:highlight w:val="none"/>
          <w:lang w:eastAsia="zh-CN"/>
        </w:rPr>
        <w:t>爱心企业：</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为深入贯彻积极应对人口老龄化国家战略，响应民政部等部门开展“乐享银龄”系列活动，推进我市老龄事业高质量发展，进一步丰富老年人精神文化生活，提升老年人幸福感、获得感和归属感，经研究，决定将全市各类社会力量举办的涉老文体活动纳入“苏式颐养·银龄乐享”品牌并常态化开展，实行统一管理、规范推进。现将有关事项通知如下：</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黑体" w:cs="Times New Roman"/>
          <w:sz w:val="32"/>
          <w:szCs w:val="32"/>
          <w:highlight w:val="none"/>
          <w:lang w:val="en-US" w:eastAsia="zh-CN"/>
        </w:rPr>
      </w:pPr>
      <w:bookmarkStart w:id="6" w:name="_Toc28009"/>
      <w:r>
        <w:rPr>
          <w:rFonts w:hint="default" w:ascii="Times New Roman" w:hAnsi="Times New Roman" w:eastAsia="黑体" w:cs="Times New Roman"/>
          <w:sz w:val="32"/>
          <w:szCs w:val="32"/>
          <w:highlight w:val="none"/>
          <w:lang w:val="en-US" w:eastAsia="zh-CN"/>
        </w:rPr>
        <w:t>一、统一品牌引领，凝聚</w:t>
      </w:r>
      <w:r>
        <w:rPr>
          <w:rFonts w:hint="eastAsia" w:ascii="Times New Roman" w:hAnsi="Times New Roman" w:eastAsia="黑体" w:cs="Times New Roman"/>
          <w:sz w:val="32"/>
          <w:szCs w:val="32"/>
          <w:highlight w:val="none"/>
          <w:lang w:val="en-US" w:eastAsia="zh-CN"/>
        </w:rPr>
        <w:t>社会</w:t>
      </w:r>
      <w:r>
        <w:rPr>
          <w:rFonts w:hint="default" w:ascii="Times New Roman" w:hAnsi="Times New Roman" w:eastAsia="黑体" w:cs="Times New Roman"/>
          <w:sz w:val="32"/>
          <w:szCs w:val="32"/>
          <w:highlight w:val="none"/>
          <w:lang w:val="en-US" w:eastAsia="zh-CN"/>
        </w:rPr>
        <w:t>合力</w:t>
      </w:r>
      <w:bookmarkEnd w:id="6"/>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全市整合各类优质资源，</w:t>
      </w:r>
      <w:r>
        <w:rPr>
          <w:rFonts w:hint="eastAsia" w:ascii="Times New Roman" w:hAnsi="Times New Roman" w:eastAsia="仿宋_GB2312" w:cs="Times New Roman"/>
          <w:sz w:val="32"/>
          <w:szCs w:val="32"/>
          <w:highlight w:val="none"/>
          <w:lang w:val="en-US" w:eastAsia="zh-CN"/>
        </w:rPr>
        <w:t>统一打造市级</w:t>
      </w:r>
      <w:bookmarkStart w:id="7" w:name="OLE_LINK8"/>
      <w:r>
        <w:rPr>
          <w:rFonts w:hint="default" w:ascii="Times New Roman" w:hAnsi="Times New Roman" w:eastAsia="仿宋_GB2312" w:cs="Times New Roman"/>
          <w:sz w:val="32"/>
          <w:szCs w:val="32"/>
          <w:highlight w:val="none"/>
          <w:lang w:val="en-US" w:eastAsia="zh-CN"/>
        </w:rPr>
        <w:t>涉老文体</w:t>
      </w:r>
      <w:r>
        <w:rPr>
          <w:rFonts w:hint="eastAsia" w:ascii="Times New Roman" w:hAnsi="Times New Roman" w:eastAsia="仿宋_GB2312" w:cs="Times New Roman"/>
          <w:sz w:val="32"/>
          <w:szCs w:val="32"/>
          <w:highlight w:val="none"/>
          <w:lang w:val="en-US" w:eastAsia="zh-CN"/>
        </w:rPr>
        <w:t>服务核心品牌</w:t>
      </w:r>
      <w:r>
        <w:rPr>
          <w:rFonts w:hint="default" w:ascii="Times New Roman" w:hAnsi="Times New Roman" w:eastAsia="仿宋_GB2312" w:cs="Times New Roman"/>
          <w:sz w:val="32"/>
          <w:szCs w:val="32"/>
          <w:highlight w:val="none"/>
          <w:lang w:val="en-US" w:eastAsia="zh-CN"/>
        </w:rPr>
        <w:t>“苏式颐养·银龄乐享”</w:t>
      </w:r>
      <w:r>
        <w:rPr>
          <w:rFonts w:hint="eastAsia" w:ascii="Times New Roman" w:hAnsi="Times New Roman" w:eastAsia="仿宋_GB2312" w:cs="Times New Roman"/>
          <w:sz w:val="32"/>
          <w:szCs w:val="32"/>
          <w:highlight w:val="none"/>
          <w:lang w:val="en-US" w:eastAsia="zh-CN"/>
        </w:rPr>
        <w:t>，</w:t>
      </w:r>
      <w:bookmarkEnd w:id="7"/>
      <w:r>
        <w:rPr>
          <w:rFonts w:hint="default" w:ascii="Times New Roman" w:hAnsi="Times New Roman" w:eastAsia="仿宋_GB2312" w:cs="Times New Roman"/>
          <w:sz w:val="32"/>
          <w:szCs w:val="32"/>
          <w:highlight w:val="none"/>
          <w:lang w:val="en-US" w:eastAsia="zh-CN"/>
        </w:rPr>
        <w:t>实现活动品牌化、规范化、常态化发展。“苏式颐养·银龄乐享”聚焦老年人精神文化、健身休闲、才艺展示、社交互动</w:t>
      </w:r>
      <w:r>
        <w:rPr>
          <w:rFonts w:hint="eastAsia" w:ascii="Times New Roman" w:hAnsi="Times New Roman" w:eastAsia="仿宋_GB2312" w:cs="Times New Roman"/>
          <w:sz w:val="32"/>
          <w:szCs w:val="32"/>
          <w:highlight w:val="none"/>
          <w:lang w:val="en-US" w:eastAsia="zh-CN"/>
        </w:rPr>
        <w:t>等</w:t>
      </w:r>
      <w:r>
        <w:rPr>
          <w:rFonts w:hint="default" w:ascii="Times New Roman" w:hAnsi="Times New Roman" w:eastAsia="仿宋_GB2312" w:cs="Times New Roman"/>
          <w:sz w:val="32"/>
          <w:szCs w:val="32"/>
          <w:highlight w:val="none"/>
          <w:lang w:val="en-US" w:eastAsia="zh-CN"/>
        </w:rPr>
        <w:t>需求，以“文体润心、乐享晚年”为宗旨，为老年人搭建老有所乐、老有所为、老有所展的公共平台</w:t>
      </w:r>
      <w:r>
        <w:rPr>
          <w:rFonts w:hint="eastAsia" w:ascii="Times New Roman" w:hAnsi="Times New Roman" w:eastAsia="仿宋_GB2312" w:cs="Times New Roman"/>
          <w:sz w:val="32"/>
          <w:szCs w:val="32"/>
          <w:highlight w:val="none"/>
          <w:lang w:val="en-US" w:eastAsia="zh-CN"/>
        </w:rPr>
        <w:t>，让生活在苏州的老年人享受高品质颐养生活，让银龄群体快乐参与、健康生活、幸福出彩。</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首期纳入</w:t>
      </w:r>
      <w:bookmarkStart w:id="8" w:name="OLE_LINK11"/>
      <w:r>
        <w:rPr>
          <w:rFonts w:hint="default" w:ascii="Times New Roman" w:hAnsi="Times New Roman" w:eastAsia="仿宋_GB2312" w:cs="Times New Roman"/>
          <w:sz w:val="32"/>
          <w:szCs w:val="32"/>
          <w:highlight w:val="none"/>
          <w:lang w:val="en-US" w:eastAsia="zh-CN"/>
        </w:rPr>
        <w:t>“苏式颐养·银龄乐享”品牌体系</w:t>
      </w:r>
      <w:bookmarkEnd w:id="8"/>
      <w:r>
        <w:rPr>
          <w:rFonts w:hint="default" w:ascii="Times New Roman" w:hAnsi="Times New Roman" w:eastAsia="仿宋_GB2312" w:cs="Times New Roman"/>
          <w:sz w:val="32"/>
          <w:szCs w:val="32"/>
          <w:highlight w:val="none"/>
          <w:lang w:val="en-US" w:eastAsia="zh-CN"/>
        </w:rPr>
        <w:t>，作为其子品牌重点培育推广</w:t>
      </w:r>
      <w:r>
        <w:rPr>
          <w:rFonts w:hint="eastAsia" w:ascii="Times New Roman" w:hAnsi="Times New Roman" w:eastAsia="仿宋_GB2312" w:cs="Times New Roman"/>
          <w:sz w:val="32"/>
          <w:szCs w:val="32"/>
          <w:highlight w:val="none"/>
          <w:lang w:val="en-US" w:eastAsia="zh-CN"/>
        </w:rPr>
        <w:t>的有</w:t>
      </w:r>
      <w:r>
        <w:rPr>
          <w:rFonts w:hint="default" w:ascii="Times New Roman" w:hAnsi="Times New Roman" w:eastAsia="仿宋_GB2312" w:cs="Times New Roman"/>
          <w:sz w:val="32"/>
          <w:szCs w:val="32"/>
          <w:highlight w:val="none"/>
          <w:lang w:val="en-US" w:eastAsia="zh-CN"/>
        </w:rPr>
        <w:t xml:space="preserve">苏州市老龄协会举办的“福气之地 </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颐养苏州”系列活动</w:t>
      </w:r>
      <w:r>
        <w:rPr>
          <w:rFonts w:hint="eastAsia" w:ascii="Times New Roman" w:hAnsi="Times New Roman" w:eastAsia="仿宋_GB2312" w:cs="Times New Roman"/>
          <w:sz w:val="32"/>
          <w:szCs w:val="32"/>
          <w:highlight w:val="none"/>
          <w:lang w:val="en-US" w:eastAsia="zh-CN"/>
        </w:rPr>
        <w:t>、“银发如歌  福气苏州”摄影活动</w:t>
      </w:r>
      <w:r>
        <w:rPr>
          <w:rFonts w:hint="default" w:ascii="Times New Roman" w:hAnsi="Times New Roman" w:eastAsia="仿宋_GB2312" w:cs="Times New Roman"/>
          <w:sz w:val="32"/>
          <w:szCs w:val="32"/>
          <w:highlight w:val="none"/>
          <w:lang w:val="en-US" w:eastAsia="zh-CN"/>
        </w:rPr>
        <w:t>及“银龄春晚”</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苏州市老年人体育协会举办的“体育健身乐享银龄”系列活动</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苏州夕阳红健康俱乐部举办的老年文化周</w:t>
      </w:r>
      <w:r>
        <w:rPr>
          <w:rFonts w:hint="eastAsia" w:ascii="Times New Roman" w:hAnsi="Times New Roman" w:eastAsia="仿宋_GB2312" w:cs="Times New Roman"/>
          <w:sz w:val="32"/>
          <w:szCs w:val="32"/>
          <w:highlight w:val="none"/>
          <w:lang w:val="en-US" w:eastAsia="zh-CN"/>
        </w:rPr>
        <w:t>活动，</w:t>
      </w:r>
      <w:r>
        <w:rPr>
          <w:rFonts w:hint="default" w:ascii="Times New Roman" w:hAnsi="Times New Roman" w:eastAsia="仿宋_GB2312" w:cs="Times New Roman"/>
          <w:sz w:val="32"/>
          <w:szCs w:val="32"/>
          <w:highlight w:val="none"/>
          <w:lang w:val="en-US" w:eastAsia="zh-CN"/>
        </w:rPr>
        <w:t>苏州康养集团举办的中老年才艺大赛及银龄“食·裳·秀”</w:t>
      </w:r>
      <w:r>
        <w:rPr>
          <w:rFonts w:hint="eastAsia" w:ascii="Times New Roman" w:hAnsi="Times New Roman" w:eastAsia="仿宋_GB2312" w:cs="Times New Roman"/>
          <w:sz w:val="32"/>
          <w:szCs w:val="32"/>
          <w:highlight w:val="none"/>
          <w:lang w:val="en-US" w:eastAsia="zh-CN"/>
        </w:rPr>
        <w:t>活动，</w:t>
      </w:r>
      <w:r>
        <w:rPr>
          <w:rFonts w:hint="default" w:ascii="Times New Roman" w:hAnsi="Times New Roman" w:eastAsia="仿宋_GB2312" w:cs="Times New Roman"/>
          <w:sz w:val="32"/>
          <w:szCs w:val="32"/>
          <w:highlight w:val="none"/>
          <w:lang w:val="en-US" w:eastAsia="zh-CN"/>
        </w:rPr>
        <w:t>苏州广电总台举办的乐龄电视歌手大赛</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苏州图书馆举办的“银龄乐读”等。</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各相关单位、社会</w:t>
      </w:r>
      <w:r>
        <w:rPr>
          <w:rFonts w:hint="eastAsia" w:ascii="Times New Roman" w:hAnsi="Times New Roman" w:eastAsia="仿宋_GB2312" w:cs="Times New Roman"/>
          <w:sz w:val="32"/>
          <w:szCs w:val="32"/>
          <w:highlight w:val="none"/>
          <w:lang w:val="en-US" w:eastAsia="zh-CN"/>
        </w:rPr>
        <w:t>组织</w:t>
      </w:r>
      <w:r>
        <w:rPr>
          <w:rFonts w:hint="default" w:ascii="Times New Roman" w:hAnsi="Times New Roman" w:eastAsia="仿宋_GB2312" w:cs="Times New Roman"/>
          <w:sz w:val="32"/>
          <w:szCs w:val="32"/>
          <w:highlight w:val="none"/>
          <w:lang w:val="en-US" w:eastAsia="zh-CN"/>
        </w:rPr>
        <w:t>及爱心企业今后举办的各类涉老文体活动，凡符合老年人需求、具备一定规模和影响力的，均可</w:t>
      </w:r>
      <w:r>
        <w:rPr>
          <w:rFonts w:hint="eastAsia" w:ascii="Times New Roman" w:hAnsi="Times New Roman" w:eastAsia="仿宋_GB2312" w:cs="Times New Roman"/>
          <w:sz w:val="32"/>
          <w:szCs w:val="32"/>
          <w:highlight w:val="none"/>
          <w:lang w:val="en-US" w:eastAsia="zh-CN"/>
        </w:rPr>
        <w:t>向业务主管单位或属地老龄办</w:t>
      </w:r>
      <w:r>
        <w:rPr>
          <w:rFonts w:hint="default" w:ascii="Times New Roman" w:hAnsi="Times New Roman" w:eastAsia="仿宋_GB2312" w:cs="Times New Roman"/>
          <w:sz w:val="32"/>
          <w:szCs w:val="32"/>
          <w:highlight w:val="none"/>
          <w:lang w:val="en-US" w:eastAsia="zh-CN"/>
        </w:rPr>
        <w:t>申请纳入“苏式颐养·银龄乐享”品牌管理，实现资源共享、优势互补，共同提升我市涉老文体活动的整体品质和辨识度。</w:t>
      </w:r>
      <w:r>
        <w:rPr>
          <w:rFonts w:hint="eastAsia" w:ascii="Times New Roman" w:hAnsi="Times New Roman" w:eastAsia="仿宋_GB2312" w:cs="Times New Roman"/>
          <w:sz w:val="32"/>
          <w:szCs w:val="32"/>
          <w:highlight w:val="none"/>
          <w:lang w:val="en-US" w:eastAsia="zh-CN"/>
        </w:rPr>
        <w:t>市级将汇总各子品牌相关活动定期向社会发布。对已纳入</w:t>
      </w:r>
      <w:r>
        <w:rPr>
          <w:rFonts w:hint="default" w:ascii="Times New Roman" w:hAnsi="Times New Roman" w:eastAsia="仿宋_GB2312" w:cs="Times New Roman"/>
          <w:sz w:val="32"/>
          <w:szCs w:val="32"/>
          <w:highlight w:val="none"/>
          <w:lang w:val="en-US" w:eastAsia="zh-CN"/>
        </w:rPr>
        <w:t>“苏式颐养·银龄乐享”品牌体系</w:t>
      </w:r>
      <w:r>
        <w:rPr>
          <w:rFonts w:hint="eastAsia" w:ascii="Times New Roman" w:hAnsi="Times New Roman" w:eastAsia="仿宋_GB2312" w:cs="Times New Roman"/>
          <w:sz w:val="32"/>
          <w:szCs w:val="32"/>
          <w:highlight w:val="none"/>
          <w:lang w:val="en-US" w:eastAsia="zh-CN"/>
        </w:rPr>
        <w:t>的连续两年活动举办不正常，或出现侵害老年人合法权益行为的子品牌，实现退出机制，并及时向社会公告。</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黑体" w:cs="Times New Roman"/>
          <w:sz w:val="32"/>
          <w:szCs w:val="32"/>
          <w:highlight w:val="none"/>
          <w:lang w:val="en-US" w:eastAsia="zh-CN"/>
        </w:rPr>
      </w:pPr>
      <w:bookmarkStart w:id="9" w:name="_Toc30031"/>
      <w:r>
        <w:rPr>
          <w:rFonts w:hint="default" w:ascii="Times New Roman" w:hAnsi="Times New Roman" w:eastAsia="黑体" w:cs="Times New Roman"/>
          <w:sz w:val="32"/>
          <w:szCs w:val="32"/>
          <w:highlight w:val="none"/>
          <w:lang w:val="en-US" w:eastAsia="zh-CN"/>
        </w:rPr>
        <w:t>二、明确职责分工，规范活动开展</w:t>
      </w:r>
      <w:bookmarkEnd w:id="9"/>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（一）加强指导监督，提升活动质量。</w:t>
      </w:r>
      <w:r>
        <w:rPr>
          <w:rFonts w:hint="default" w:ascii="Times New Roman" w:hAnsi="Times New Roman" w:eastAsia="仿宋_GB2312" w:cs="Times New Roman"/>
          <w:sz w:val="32"/>
          <w:szCs w:val="32"/>
          <w:highlight w:val="none"/>
          <w:lang w:val="en-US" w:eastAsia="zh-CN"/>
        </w:rPr>
        <w:t>市老龄委各相关成员单位要立足自身职能，加强对涉老文体活动的指导和监督。</w:t>
      </w:r>
      <w:r>
        <w:rPr>
          <w:rFonts w:hint="eastAsia" w:ascii="Times New Roman" w:hAnsi="Times New Roman" w:eastAsia="仿宋_GB2312" w:cs="Times New Roman"/>
          <w:sz w:val="32"/>
          <w:szCs w:val="32"/>
          <w:highlight w:val="none"/>
          <w:lang w:val="en-US" w:eastAsia="zh-CN"/>
        </w:rPr>
        <w:t>市老龄办统筹掌握各单位、各地涉老文体活动并加强指导，协调相关部门或单位加大宣传，提升“苏式颐养·银龄乐享”品牌的影响力和美誉度。</w:t>
      </w:r>
      <w:r>
        <w:rPr>
          <w:rFonts w:hint="default" w:ascii="Times New Roman" w:hAnsi="Times New Roman" w:eastAsia="仿宋_GB2312" w:cs="Times New Roman"/>
          <w:sz w:val="32"/>
          <w:szCs w:val="32"/>
          <w:highlight w:val="none"/>
          <w:lang w:val="en-US" w:eastAsia="zh-CN"/>
        </w:rPr>
        <w:t>宣传部门要做好品牌及活动的宣传推广，营造全社会关心关爱老年人的良好氛围；文广旅部门要指导活动提升文化内涵、艺术水准，规范活动组织流程，提升品牌专业度；民政部门要衔接养老服务资源，推动活动与居家、社区</w:t>
      </w:r>
      <w:r>
        <w:rPr>
          <w:rFonts w:hint="eastAsia" w:ascii="Times New Roman" w:hAnsi="Times New Roman" w:eastAsia="仿宋_GB2312" w:cs="Times New Roman"/>
          <w:sz w:val="32"/>
          <w:szCs w:val="32"/>
          <w:highlight w:val="none"/>
          <w:lang w:val="en-US" w:eastAsia="zh-CN"/>
        </w:rPr>
        <w:t>和机构三种养老服务业务及银发经济</w:t>
      </w:r>
      <w:r>
        <w:rPr>
          <w:rFonts w:hint="default" w:ascii="Times New Roman" w:hAnsi="Times New Roman" w:eastAsia="仿宋_GB2312" w:cs="Times New Roman"/>
          <w:sz w:val="32"/>
          <w:szCs w:val="32"/>
          <w:highlight w:val="none"/>
          <w:lang w:val="en-US" w:eastAsia="zh-CN"/>
        </w:rPr>
        <w:t>有机结合；体育部门要加强对涉老体育活动组织的</w:t>
      </w:r>
      <w:r>
        <w:rPr>
          <w:rFonts w:hint="eastAsia" w:ascii="Times New Roman" w:hAnsi="Times New Roman" w:eastAsia="仿宋_GB2312" w:cs="Times New Roman"/>
          <w:sz w:val="32"/>
          <w:szCs w:val="32"/>
          <w:highlight w:val="none"/>
          <w:lang w:val="en-US" w:eastAsia="zh-CN"/>
        </w:rPr>
        <w:t>专业</w:t>
      </w:r>
      <w:r>
        <w:rPr>
          <w:rFonts w:hint="default" w:ascii="Times New Roman" w:hAnsi="Times New Roman" w:eastAsia="仿宋_GB2312" w:cs="Times New Roman"/>
          <w:sz w:val="32"/>
          <w:szCs w:val="32"/>
          <w:highlight w:val="none"/>
          <w:lang w:val="en-US" w:eastAsia="zh-CN"/>
        </w:rPr>
        <w:t>指导；卫健部门</w:t>
      </w:r>
      <w:r>
        <w:rPr>
          <w:rFonts w:hint="eastAsia" w:ascii="Times New Roman" w:hAnsi="Times New Roman" w:eastAsia="仿宋_GB2312" w:cs="Times New Roman"/>
          <w:sz w:val="32"/>
          <w:szCs w:val="32"/>
          <w:highlight w:val="none"/>
          <w:lang w:val="en-US" w:eastAsia="zh-CN"/>
        </w:rPr>
        <w:t>根据苏州市大型活动“5+N”组织管理</w:t>
      </w:r>
      <w:r>
        <w:rPr>
          <w:rFonts w:hint="eastAsia" w:cs="Times New Roman"/>
          <w:sz w:val="32"/>
          <w:szCs w:val="32"/>
          <w:highlight w:val="none"/>
          <w:lang w:val="en-US" w:eastAsia="zh-CN"/>
        </w:rPr>
        <w:t>相关</w:t>
      </w:r>
      <w:r>
        <w:rPr>
          <w:rFonts w:hint="eastAsia" w:ascii="Times New Roman" w:hAnsi="Times New Roman" w:eastAsia="仿宋_GB2312" w:cs="Times New Roman"/>
          <w:sz w:val="32"/>
          <w:szCs w:val="32"/>
          <w:highlight w:val="none"/>
          <w:lang w:val="en-US" w:eastAsia="zh-CN"/>
        </w:rPr>
        <w:t>实施办</w:t>
      </w:r>
      <w:bookmarkStart w:id="13" w:name="_GoBack"/>
      <w:bookmarkEnd w:id="13"/>
      <w:r>
        <w:rPr>
          <w:rFonts w:hint="eastAsia" w:ascii="Times New Roman" w:hAnsi="Times New Roman" w:eastAsia="仿宋_GB2312" w:cs="Times New Roman"/>
          <w:sz w:val="32"/>
          <w:szCs w:val="32"/>
          <w:highlight w:val="none"/>
          <w:lang w:val="en-US" w:eastAsia="zh-CN"/>
        </w:rPr>
        <w:t>法</w:t>
      </w:r>
      <w:r>
        <w:rPr>
          <w:rFonts w:hint="eastAsia" w:cs="Times New Roman"/>
          <w:sz w:val="32"/>
          <w:szCs w:val="32"/>
          <w:highlight w:val="none"/>
          <w:lang w:val="en-US" w:eastAsia="zh-CN"/>
        </w:rPr>
        <w:t>要求，</w:t>
      </w:r>
      <w:r>
        <w:rPr>
          <w:rFonts w:hint="eastAsia" w:ascii="Times New Roman" w:hAnsi="Times New Roman" w:eastAsia="仿宋_GB2312" w:cs="Times New Roman"/>
          <w:sz w:val="32"/>
          <w:szCs w:val="32"/>
          <w:highlight w:val="none"/>
          <w:lang w:val="en-US" w:eastAsia="zh-CN"/>
        </w:rPr>
        <w:t>协助</w:t>
      </w:r>
      <w:r>
        <w:rPr>
          <w:rFonts w:hint="default" w:ascii="Times New Roman" w:hAnsi="Times New Roman" w:eastAsia="仿宋_GB2312" w:cs="Times New Roman"/>
          <w:sz w:val="32"/>
          <w:szCs w:val="32"/>
          <w:highlight w:val="none"/>
          <w:lang w:val="en-US" w:eastAsia="zh-CN"/>
        </w:rPr>
        <w:t>做好医疗保障工作；消防部门要加强对活动现场相关安全的检查和指导；城管部门要加强对室外活动场地搭建进行指导；其他成员单位要结合自身职责，主动配合做好活动相关保障或指导工作。各县级市（区）老龄办要统筹本地区涉老文体活动，加强对辖区内活动的指导、协调和管理，确保活动有序开展。</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（二）严格</w:t>
      </w:r>
      <w:r>
        <w:rPr>
          <w:rFonts w:hint="eastAsia" w:ascii="Times New Roman" w:hAnsi="Times New Roman" w:eastAsia="楷体_GB2312" w:cs="Times New Roman"/>
          <w:sz w:val="32"/>
          <w:szCs w:val="32"/>
          <w:highlight w:val="none"/>
          <w:lang w:val="en-US" w:eastAsia="zh-CN"/>
        </w:rPr>
        <w:t>报</w:t>
      </w:r>
      <w:r>
        <w:rPr>
          <w:rFonts w:hint="default" w:ascii="Times New Roman" w:hAnsi="Times New Roman" w:eastAsia="楷体_GB2312" w:cs="Times New Roman"/>
          <w:sz w:val="32"/>
          <w:szCs w:val="32"/>
          <w:highlight w:val="none"/>
          <w:lang w:val="en-US" w:eastAsia="zh-CN"/>
        </w:rPr>
        <w:t>备管理，强化责任落实。</w:t>
      </w:r>
      <w:r>
        <w:rPr>
          <w:rFonts w:hint="default" w:ascii="Times New Roman" w:hAnsi="Times New Roman" w:eastAsia="仿宋_GB2312" w:cs="Times New Roman"/>
          <w:sz w:val="32"/>
          <w:szCs w:val="32"/>
          <w:highlight w:val="none"/>
          <w:lang w:val="en-US" w:eastAsia="zh-CN"/>
        </w:rPr>
        <w:t>主办单位</w:t>
      </w:r>
      <w:r>
        <w:rPr>
          <w:rFonts w:hint="eastAsia" w:ascii="Times New Roman" w:hAnsi="Times New Roman" w:eastAsia="仿宋_GB2312" w:cs="Times New Roman"/>
          <w:sz w:val="32"/>
          <w:szCs w:val="32"/>
          <w:highlight w:val="none"/>
          <w:lang w:val="en-US" w:eastAsia="zh-CN"/>
        </w:rPr>
        <w:t>在自主举办</w:t>
      </w:r>
      <w:r>
        <w:rPr>
          <w:rFonts w:hint="default" w:ascii="Times New Roman" w:hAnsi="Times New Roman" w:eastAsia="仿宋_GB2312" w:cs="Times New Roman"/>
          <w:sz w:val="32"/>
          <w:szCs w:val="32"/>
          <w:highlight w:val="none"/>
          <w:lang w:val="en-US" w:eastAsia="zh-CN"/>
        </w:rPr>
        <w:t>涉老文体活动</w:t>
      </w:r>
      <w:r>
        <w:rPr>
          <w:rFonts w:hint="eastAsia" w:ascii="Times New Roman" w:hAnsi="Times New Roman" w:eastAsia="仿宋_GB2312" w:cs="Times New Roman"/>
          <w:sz w:val="32"/>
          <w:szCs w:val="32"/>
          <w:highlight w:val="none"/>
          <w:lang w:val="en-US" w:eastAsia="zh-CN"/>
        </w:rPr>
        <w:t>时</w:t>
      </w:r>
      <w:r>
        <w:rPr>
          <w:rFonts w:hint="default" w:ascii="Times New Roman" w:hAnsi="Times New Roman" w:eastAsia="仿宋_GB2312" w:cs="Times New Roman"/>
          <w:sz w:val="32"/>
          <w:szCs w:val="32"/>
          <w:highlight w:val="none"/>
          <w:lang w:val="en-US" w:eastAsia="zh-CN"/>
        </w:rPr>
        <w:t>，应当提前30日向属地老龄办或业务主管单位报告</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主办单位是社会</w:t>
      </w:r>
      <w:r>
        <w:rPr>
          <w:rFonts w:hint="eastAsia" w:ascii="Times New Roman" w:hAnsi="Times New Roman" w:eastAsia="仿宋_GB2312" w:cs="Times New Roman"/>
          <w:sz w:val="32"/>
          <w:szCs w:val="32"/>
          <w:highlight w:val="none"/>
          <w:lang w:val="en-US" w:eastAsia="zh-CN"/>
        </w:rPr>
        <w:t>组织</w:t>
      </w:r>
      <w:r>
        <w:rPr>
          <w:rFonts w:hint="default" w:ascii="Times New Roman" w:hAnsi="Times New Roman" w:eastAsia="仿宋_GB2312" w:cs="Times New Roman"/>
          <w:sz w:val="32"/>
          <w:szCs w:val="32"/>
          <w:highlight w:val="none"/>
          <w:lang w:val="en-US" w:eastAsia="zh-CN"/>
        </w:rPr>
        <w:t>的通过“江苏社会组织网上办事系统”线上向</w:t>
      </w:r>
      <w:r>
        <w:rPr>
          <w:rFonts w:hint="eastAsia" w:ascii="Times New Roman" w:hAnsi="Times New Roman" w:eastAsia="仿宋_GB2312" w:cs="Times New Roman"/>
          <w:sz w:val="32"/>
          <w:szCs w:val="32"/>
          <w:highlight w:val="none"/>
          <w:lang w:val="en-US" w:eastAsia="zh-CN"/>
        </w:rPr>
        <w:t>业务</w:t>
      </w:r>
      <w:r>
        <w:rPr>
          <w:rFonts w:hint="default" w:ascii="Times New Roman" w:hAnsi="Times New Roman" w:eastAsia="仿宋_GB2312" w:cs="Times New Roman"/>
          <w:sz w:val="32"/>
          <w:szCs w:val="32"/>
          <w:highlight w:val="none"/>
          <w:lang w:val="en-US" w:eastAsia="zh-CN"/>
        </w:rPr>
        <w:t>主管单位报</w:t>
      </w:r>
      <w:r>
        <w:rPr>
          <w:rFonts w:hint="eastAsia" w:ascii="Times New Roman" w:hAnsi="Times New Roman" w:eastAsia="仿宋_GB2312" w:cs="Times New Roman"/>
          <w:sz w:val="32"/>
          <w:szCs w:val="32"/>
          <w:highlight w:val="none"/>
          <w:lang w:val="en-US" w:eastAsia="zh-CN"/>
        </w:rPr>
        <w:t>告</w:t>
      </w:r>
      <w:r>
        <w:rPr>
          <w:rFonts w:hint="default" w:ascii="Times New Roman" w:hAnsi="Times New Roman" w:eastAsia="仿宋_GB2312" w:cs="Times New Roman"/>
          <w:sz w:val="32"/>
          <w:szCs w:val="32"/>
          <w:highlight w:val="none"/>
          <w:lang w:val="en-US" w:eastAsia="zh-CN"/>
        </w:rPr>
        <w:t>，是爱心企业的向属地老龄办报</w:t>
      </w:r>
      <w:r>
        <w:rPr>
          <w:rFonts w:hint="eastAsia" w:ascii="Times New Roman" w:hAnsi="Times New Roman" w:eastAsia="仿宋_GB2312" w:cs="Times New Roman"/>
          <w:sz w:val="32"/>
          <w:szCs w:val="32"/>
          <w:highlight w:val="none"/>
          <w:lang w:val="en-US" w:eastAsia="zh-CN"/>
        </w:rPr>
        <w:t>告</w:t>
      </w:r>
      <w:r>
        <w:rPr>
          <w:rFonts w:hint="default" w:ascii="Times New Roman" w:hAnsi="Times New Roman" w:eastAsia="仿宋_GB2312" w:cs="Times New Roman"/>
          <w:sz w:val="32"/>
          <w:szCs w:val="32"/>
          <w:highlight w:val="none"/>
          <w:lang w:val="en-US" w:eastAsia="zh-CN"/>
        </w:rPr>
        <w:t>；各地老龄办、</w:t>
      </w:r>
      <w:r>
        <w:rPr>
          <w:rFonts w:hint="eastAsia" w:ascii="Times New Roman" w:hAnsi="Times New Roman" w:eastAsia="仿宋_GB2312" w:cs="Times New Roman"/>
          <w:sz w:val="32"/>
          <w:szCs w:val="32"/>
          <w:highlight w:val="none"/>
          <w:lang w:val="en-US" w:eastAsia="zh-CN"/>
        </w:rPr>
        <w:t>业务</w:t>
      </w:r>
      <w:r>
        <w:rPr>
          <w:rFonts w:hint="default" w:ascii="Times New Roman" w:hAnsi="Times New Roman" w:eastAsia="仿宋_GB2312" w:cs="Times New Roman"/>
          <w:sz w:val="32"/>
          <w:szCs w:val="32"/>
          <w:highlight w:val="none"/>
          <w:lang w:val="en-US" w:eastAsia="zh-CN"/>
        </w:rPr>
        <w:t>主管单位应及时向市老龄办报备</w:t>
      </w:r>
      <w:r>
        <w:rPr>
          <w:rFonts w:hint="eastAsia" w:ascii="Times New Roman" w:hAnsi="Times New Roman" w:eastAsia="仿宋_GB2312" w:cs="Times New Roman"/>
          <w:sz w:val="32"/>
          <w:szCs w:val="32"/>
          <w:highlight w:val="none"/>
          <w:lang w:val="en-US" w:eastAsia="zh-CN"/>
        </w:rPr>
        <w:t>。报告或</w:t>
      </w:r>
      <w:r>
        <w:rPr>
          <w:rFonts w:hint="default" w:ascii="Times New Roman" w:hAnsi="Times New Roman" w:eastAsia="仿宋_GB2312" w:cs="Times New Roman"/>
          <w:sz w:val="32"/>
          <w:szCs w:val="32"/>
          <w:highlight w:val="none"/>
          <w:lang w:val="en-US" w:eastAsia="zh-CN"/>
        </w:rPr>
        <w:t>报备</w:t>
      </w:r>
      <w:r>
        <w:rPr>
          <w:rFonts w:hint="eastAsia" w:ascii="Times New Roman" w:hAnsi="Times New Roman" w:eastAsia="仿宋_GB2312" w:cs="Times New Roman"/>
          <w:sz w:val="32"/>
          <w:szCs w:val="32"/>
          <w:highlight w:val="none"/>
          <w:lang w:val="en-US" w:eastAsia="zh-CN"/>
        </w:rPr>
        <w:t>的内容主要包括</w:t>
      </w:r>
      <w:r>
        <w:rPr>
          <w:rFonts w:hint="default" w:ascii="Times New Roman" w:hAnsi="Times New Roman" w:eastAsia="仿宋_GB2312" w:cs="Times New Roman"/>
          <w:sz w:val="32"/>
          <w:szCs w:val="32"/>
          <w:highlight w:val="none"/>
          <w:lang w:val="en-US" w:eastAsia="zh-CN"/>
        </w:rPr>
        <w:t>活动方案、安全预案、经费来源、参与人员范围、保障措施等</w:t>
      </w:r>
      <w:r>
        <w:rPr>
          <w:rFonts w:hint="eastAsia" w:ascii="Times New Roman" w:hAnsi="Times New Roman" w:eastAsia="仿宋_GB2312" w:cs="Times New Roman"/>
          <w:sz w:val="32"/>
          <w:szCs w:val="32"/>
          <w:highlight w:val="none"/>
          <w:lang w:val="en-US" w:eastAsia="zh-CN"/>
        </w:rPr>
        <w:t>（具体见附件）</w:t>
      </w:r>
      <w:r>
        <w:rPr>
          <w:rFonts w:hint="default" w:ascii="Times New Roman" w:hAnsi="Times New Roman" w:eastAsia="仿宋_GB2312" w:cs="Times New Roman"/>
          <w:sz w:val="32"/>
          <w:szCs w:val="32"/>
          <w:highlight w:val="none"/>
          <w:lang w:val="en-US" w:eastAsia="zh-CN"/>
        </w:rPr>
        <w:t>。涉及单次参加活动人员达到1000人的，要按照举办大型群众性活动要求</w:t>
      </w:r>
      <w:r>
        <w:rPr>
          <w:rFonts w:hint="eastAsia" w:ascii="Times New Roman" w:hAnsi="Times New Roman" w:eastAsia="仿宋_GB2312" w:cs="Times New Roman"/>
          <w:sz w:val="32"/>
          <w:szCs w:val="32"/>
          <w:highlight w:val="none"/>
          <w:lang w:val="en-US" w:eastAsia="zh-CN"/>
        </w:rPr>
        <w:t>在活动举办20日前</w:t>
      </w:r>
      <w:r>
        <w:rPr>
          <w:rFonts w:hint="default" w:ascii="Times New Roman" w:hAnsi="Times New Roman" w:eastAsia="仿宋_GB2312" w:cs="Times New Roman"/>
          <w:sz w:val="32"/>
          <w:szCs w:val="32"/>
          <w:highlight w:val="none"/>
          <w:lang w:val="en-US" w:eastAsia="zh-CN"/>
        </w:rPr>
        <w:t>向属地</w:t>
      </w:r>
      <w:r>
        <w:rPr>
          <w:rFonts w:hint="eastAsia" w:ascii="Times New Roman" w:hAnsi="Times New Roman" w:eastAsia="仿宋_GB2312" w:cs="Times New Roman"/>
          <w:sz w:val="32"/>
          <w:szCs w:val="32"/>
          <w:highlight w:val="none"/>
          <w:lang w:val="en-US" w:eastAsia="zh-CN"/>
        </w:rPr>
        <w:t>县级</w:t>
      </w:r>
      <w:r>
        <w:rPr>
          <w:rFonts w:hint="default" w:ascii="Times New Roman" w:hAnsi="Times New Roman" w:eastAsia="仿宋_GB2312" w:cs="Times New Roman"/>
          <w:sz w:val="32"/>
          <w:szCs w:val="32"/>
          <w:highlight w:val="none"/>
          <w:lang w:val="en-US" w:eastAsia="zh-CN"/>
        </w:rPr>
        <w:t>公安机关申请安全许可；达到5000人的向市级公安</w:t>
      </w:r>
      <w:r>
        <w:rPr>
          <w:rFonts w:hint="eastAsia" w:ascii="Times New Roman" w:hAnsi="Times New Roman" w:eastAsia="仿宋_GB2312" w:cs="Times New Roman"/>
          <w:sz w:val="32"/>
          <w:szCs w:val="32"/>
          <w:highlight w:val="none"/>
          <w:lang w:val="en-US" w:eastAsia="zh-CN"/>
        </w:rPr>
        <w:t>机关</w:t>
      </w:r>
      <w:r>
        <w:rPr>
          <w:rFonts w:hint="default" w:ascii="Times New Roman" w:hAnsi="Times New Roman" w:eastAsia="仿宋_GB2312" w:cs="Times New Roman"/>
          <w:sz w:val="32"/>
          <w:szCs w:val="32"/>
          <w:highlight w:val="none"/>
          <w:lang w:val="en-US" w:eastAsia="zh-CN"/>
        </w:rPr>
        <w:t>申请安全许可。主办单位要严格按照</w:t>
      </w:r>
      <w:r>
        <w:rPr>
          <w:rFonts w:hint="eastAsia" w:ascii="Times New Roman" w:hAnsi="Times New Roman" w:eastAsia="仿宋_GB2312" w:cs="Times New Roman"/>
          <w:sz w:val="32"/>
          <w:szCs w:val="32"/>
          <w:highlight w:val="none"/>
          <w:lang w:val="en-US" w:eastAsia="zh-CN"/>
        </w:rPr>
        <w:t>报</w:t>
      </w:r>
      <w:r>
        <w:rPr>
          <w:rFonts w:hint="default" w:ascii="Times New Roman" w:hAnsi="Times New Roman" w:eastAsia="仿宋_GB2312" w:cs="Times New Roman"/>
          <w:sz w:val="32"/>
          <w:szCs w:val="32"/>
          <w:highlight w:val="none"/>
          <w:lang w:val="en-US" w:eastAsia="zh-CN"/>
        </w:rPr>
        <w:t>备</w:t>
      </w:r>
      <w:r>
        <w:rPr>
          <w:rFonts w:hint="eastAsia" w:ascii="Times New Roman" w:hAnsi="Times New Roman" w:eastAsia="仿宋_GB2312" w:cs="Times New Roman"/>
          <w:sz w:val="32"/>
          <w:szCs w:val="32"/>
          <w:highlight w:val="none"/>
          <w:lang w:val="en-US" w:eastAsia="zh-CN"/>
        </w:rPr>
        <w:t>事项</w:t>
      </w:r>
      <w:r>
        <w:rPr>
          <w:rFonts w:hint="default" w:ascii="Times New Roman" w:hAnsi="Times New Roman" w:eastAsia="仿宋_GB2312" w:cs="Times New Roman"/>
          <w:sz w:val="32"/>
          <w:szCs w:val="32"/>
          <w:highlight w:val="none"/>
          <w:lang w:val="en-US" w:eastAsia="zh-CN"/>
        </w:rPr>
        <w:t>组织活动，不得擅自变更活动内容、规模和流程；确需变更的，需重新履行</w:t>
      </w:r>
      <w:r>
        <w:rPr>
          <w:rFonts w:hint="eastAsia" w:ascii="Times New Roman" w:hAnsi="Times New Roman" w:eastAsia="仿宋_GB2312" w:cs="Times New Roman"/>
          <w:sz w:val="32"/>
          <w:szCs w:val="32"/>
          <w:highlight w:val="none"/>
          <w:lang w:val="en-US" w:eastAsia="zh-CN"/>
        </w:rPr>
        <w:t>报</w:t>
      </w:r>
      <w:r>
        <w:rPr>
          <w:rFonts w:hint="default" w:ascii="Times New Roman" w:hAnsi="Times New Roman" w:eastAsia="仿宋_GB2312" w:cs="Times New Roman"/>
          <w:sz w:val="32"/>
          <w:szCs w:val="32"/>
          <w:highlight w:val="none"/>
          <w:lang w:val="en-US" w:eastAsia="zh-CN"/>
        </w:rPr>
        <w:t>备手续。活动结束后，主办单位应及时向</w:t>
      </w:r>
      <w:r>
        <w:rPr>
          <w:rFonts w:hint="eastAsia" w:ascii="Times New Roman" w:hAnsi="Times New Roman" w:eastAsia="仿宋_GB2312" w:cs="Times New Roman"/>
          <w:sz w:val="32"/>
          <w:szCs w:val="32"/>
          <w:highlight w:val="none"/>
          <w:lang w:val="en-US" w:eastAsia="zh-CN"/>
        </w:rPr>
        <w:t>报</w:t>
      </w:r>
      <w:r>
        <w:rPr>
          <w:rFonts w:hint="default" w:ascii="Times New Roman" w:hAnsi="Times New Roman" w:eastAsia="仿宋_GB2312" w:cs="Times New Roman"/>
          <w:sz w:val="32"/>
          <w:szCs w:val="32"/>
          <w:highlight w:val="none"/>
          <w:lang w:val="en-US" w:eastAsia="zh-CN"/>
        </w:rPr>
        <w:t>备单位提交活动总结，</w:t>
      </w:r>
      <w:r>
        <w:rPr>
          <w:rFonts w:hint="eastAsia" w:ascii="Times New Roman" w:hAnsi="Times New Roman" w:eastAsia="仿宋_GB2312" w:cs="Times New Roman"/>
          <w:sz w:val="32"/>
          <w:szCs w:val="32"/>
          <w:highlight w:val="none"/>
          <w:lang w:val="en-US" w:eastAsia="zh-CN"/>
        </w:rPr>
        <w:t>报</w:t>
      </w:r>
      <w:r>
        <w:rPr>
          <w:rFonts w:hint="default" w:ascii="Times New Roman" w:hAnsi="Times New Roman" w:eastAsia="仿宋_GB2312" w:cs="Times New Roman"/>
          <w:sz w:val="32"/>
          <w:szCs w:val="32"/>
          <w:highlight w:val="none"/>
          <w:lang w:val="en-US" w:eastAsia="zh-CN"/>
        </w:rPr>
        <w:t>备单位同步报市老龄办存档。</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（三）精心组织实施，保障活动实效。</w:t>
      </w:r>
      <w:r>
        <w:rPr>
          <w:rFonts w:hint="default" w:ascii="Times New Roman" w:hAnsi="Times New Roman" w:eastAsia="仿宋_GB2312" w:cs="Times New Roman"/>
          <w:sz w:val="32"/>
          <w:szCs w:val="32"/>
          <w:highlight w:val="none"/>
          <w:lang w:val="en-US" w:eastAsia="zh-CN"/>
        </w:rPr>
        <w:t>主办单位要坚持以老年人为中心</w:t>
      </w:r>
      <w:r>
        <w:rPr>
          <w:rFonts w:hint="eastAsia" w:ascii="Times New Roman" w:hAnsi="Times New Roman" w:eastAsia="仿宋_GB2312" w:cs="Times New Roman"/>
          <w:sz w:val="32"/>
          <w:szCs w:val="32"/>
          <w:highlight w:val="none"/>
          <w:lang w:val="en-US" w:eastAsia="zh-CN"/>
        </w:rPr>
        <w:t>的指导思想</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采取措施、精心组织，确保活动安全、规范、暖心、有序、顺利举办。要</w:t>
      </w:r>
      <w:r>
        <w:rPr>
          <w:rFonts w:hint="default" w:ascii="Times New Roman" w:hAnsi="Times New Roman" w:eastAsia="仿宋_GB2312" w:cs="Times New Roman"/>
          <w:sz w:val="32"/>
          <w:szCs w:val="32"/>
          <w:highlight w:val="none"/>
          <w:lang w:val="en-US" w:eastAsia="zh-CN"/>
        </w:rPr>
        <w:t>结合老年人身心特点，精心设计活动内容和形式，注重活动的趣味性、参与性和安全性，避免组织高强度、高风险的活动。要完善活动组织架构，明确专人负责活动策划、组织、协调和安全保障等工作，提前排查活动场地、设施设备等安全隐患，制定应急预案，购买人身意外、场地公众责任等保险，妥善处置活动中可能出现的各类问题。活动坚持重在参与、重在展示、重在和谐、正向激励原则，杜绝攀比矛盾与舆情风险。</w:t>
      </w:r>
      <w:r>
        <w:rPr>
          <w:rFonts w:hint="eastAsia" w:ascii="Times New Roman" w:hAnsi="Times New Roman" w:eastAsia="仿宋_GB2312" w:cs="Times New Roman"/>
          <w:sz w:val="32"/>
          <w:szCs w:val="32"/>
          <w:highlight w:val="none"/>
          <w:lang w:val="en-US" w:eastAsia="zh-CN"/>
        </w:rPr>
        <w:t>除上级类似活动有</w:t>
      </w:r>
      <w:r>
        <w:rPr>
          <w:rFonts w:hint="default" w:ascii="Times New Roman" w:hAnsi="Times New Roman" w:eastAsia="仿宋_GB2312" w:cs="Times New Roman"/>
          <w:sz w:val="32"/>
          <w:szCs w:val="32"/>
          <w:highlight w:val="none"/>
          <w:lang w:val="en-US" w:eastAsia="zh-CN"/>
        </w:rPr>
        <w:t>一、二、三等奖等强排名奖项</w:t>
      </w:r>
      <w:r>
        <w:rPr>
          <w:rFonts w:hint="eastAsia" w:ascii="Times New Roman" w:hAnsi="Times New Roman" w:eastAsia="仿宋_GB2312" w:cs="Times New Roman"/>
          <w:sz w:val="32"/>
          <w:szCs w:val="32"/>
          <w:highlight w:val="none"/>
          <w:lang w:val="en-US" w:eastAsia="zh-CN"/>
        </w:rPr>
        <w:t>外，其他不得组织强排名评选表彰。</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黑体" w:cs="Times New Roman"/>
          <w:sz w:val="32"/>
          <w:szCs w:val="32"/>
          <w:highlight w:val="none"/>
          <w:lang w:val="en-US" w:eastAsia="zh-CN"/>
        </w:rPr>
      </w:pPr>
      <w:bookmarkStart w:id="10" w:name="_Toc9118"/>
      <w:r>
        <w:rPr>
          <w:rFonts w:hint="default" w:ascii="Times New Roman" w:hAnsi="Times New Roman" w:eastAsia="黑体" w:cs="Times New Roman"/>
          <w:sz w:val="32"/>
          <w:szCs w:val="32"/>
          <w:highlight w:val="none"/>
          <w:lang w:val="en-US" w:eastAsia="zh-CN"/>
        </w:rPr>
        <w:t>三、广泛动员参与，扩大品牌影响</w:t>
      </w:r>
      <w:bookmarkEnd w:id="10"/>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各地各单位要高度重视“苏式颐养·银龄乐享”品牌推广工作，通过社区公告、养老服务机构宣传、媒体报道、私域社群通知等多种渠道，广泛宣传品牌内涵及各类涉老文体活动信息，动员</w:t>
      </w:r>
      <w:r>
        <w:rPr>
          <w:rFonts w:hint="eastAsia" w:ascii="Times New Roman" w:hAnsi="Times New Roman" w:eastAsia="仿宋_GB2312" w:cs="Times New Roman"/>
          <w:sz w:val="32"/>
          <w:szCs w:val="32"/>
          <w:highlight w:val="none"/>
          <w:lang w:val="en-US" w:eastAsia="zh-CN"/>
        </w:rPr>
        <w:t>社会各界和</w:t>
      </w:r>
      <w:r>
        <w:rPr>
          <w:rFonts w:hint="default" w:ascii="Times New Roman" w:hAnsi="Times New Roman" w:eastAsia="仿宋_GB2312" w:cs="Times New Roman"/>
          <w:sz w:val="32"/>
          <w:szCs w:val="32"/>
          <w:highlight w:val="none"/>
          <w:lang w:val="en-US" w:eastAsia="zh-CN"/>
        </w:rPr>
        <w:t>广大老年人积极参与。</w:t>
      </w:r>
      <w:r>
        <w:rPr>
          <w:rFonts w:hint="eastAsia" w:ascii="Times New Roman" w:hAnsi="Times New Roman" w:eastAsia="仿宋_GB2312" w:cs="Times New Roman"/>
          <w:sz w:val="32"/>
          <w:szCs w:val="32"/>
          <w:highlight w:val="none"/>
          <w:lang w:val="en-US" w:eastAsia="zh-CN"/>
        </w:rPr>
        <w:t>各社会组织、爱心企业可积极配合主办单位参与</w:t>
      </w:r>
      <w:r>
        <w:rPr>
          <w:rFonts w:hint="default" w:ascii="Times New Roman" w:hAnsi="Times New Roman" w:eastAsia="仿宋_GB2312" w:cs="Times New Roman"/>
          <w:sz w:val="32"/>
          <w:szCs w:val="32"/>
          <w:highlight w:val="none"/>
          <w:lang w:val="en-US" w:eastAsia="zh-CN"/>
        </w:rPr>
        <w:t>“苏式颐养·银龄乐享”</w:t>
      </w:r>
      <w:r>
        <w:rPr>
          <w:rFonts w:hint="eastAsia" w:ascii="Times New Roman" w:hAnsi="Times New Roman" w:eastAsia="仿宋_GB2312" w:cs="Times New Roman"/>
          <w:sz w:val="32"/>
          <w:szCs w:val="32"/>
          <w:highlight w:val="none"/>
          <w:lang w:val="en-US" w:eastAsia="zh-CN"/>
        </w:rPr>
        <w:t>子</w:t>
      </w:r>
      <w:r>
        <w:rPr>
          <w:rFonts w:hint="default" w:ascii="Times New Roman" w:hAnsi="Times New Roman" w:eastAsia="仿宋_GB2312" w:cs="Times New Roman"/>
          <w:sz w:val="32"/>
          <w:szCs w:val="32"/>
          <w:highlight w:val="none"/>
          <w:lang w:val="en-US" w:eastAsia="zh-CN"/>
        </w:rPr>
        <w:t>品牌</w:t>
      </w:r>
      <w:r>
        <w:rPr>
          <w:rFonts w:hint="eastAsia" w:ascii="Times New Roman" w:hAnsi="Times New Roman" w:eastAsia="仿宋_GB2312" w:cs="Times New Roman"/>
          <w:sz w:val="32"/>
          <w:szCs w:val="32"/>
          <w:highlight w:val="none"/>
          <w:lang w:val="en-US" w:eastAsia="zh-CN"/>
        </w:rPr>
        <w:t>的承办或协办，符合条件的可以冠名。</w:t>
      </w:r>
      <w:r>
        <w:rPr>
          <w:rFonts w:hint="default" w:ascii="Times New Roman" w:hAnsi="Times New Roman" w:eastAsia="仿宋_GB2312" w:cs="Times New Roman"/>
          <w:sz w:val="32"/>
          <w:szCs w:val="32"/>
          <w:highlight w:val="none"/>
          <w:lang w:val="en-US" w:eastAsia="zh-CN"/>
        </w:rPr>
        <w:t>鼓励老年人发挥自身特长，主动参与活动策划、组织和展示，增强老年人的参与感和成就感。主办单位在举办活动期间，可结合传统节日、重要节点，策划开展特色鲜明、形式多样的主题活动，不断丰富活动内容，</w:t>
      </w:r>
      <w:r>
        <w:rPr>
          <w:rFonts w:hint="eastAsia" w:ascii="Times New Roman" w:hAnsi="Times New Roman" w:eastAsia="仿宋_GB2312" w:cs="Times New Roman"/>
          <w:sz w:val="32"/>
          <w:szCs w:val="32"/>
          <w:highlight w:val="none"/>
          <w:lang w:val="en-US" w:eastAsia="zh-CN"/>
        </w:rPr>
        <w:t>活动开展</w:t>
      </w:r>
      <w:r>
        <w:rPr>
          <w:rFonts w:hint="default" w:ascii="Times New Roman" w:hAnsi="Times New Roman" w:eastAsia="仿宋_GB2312" w:cs="Times New Roman"/>
          <w:sz w:val="32"/>
          <w:szCs w:val="32"/>
          <w:highlight w:val="none"/>
          <w:lang w:val="en-US" w:eastAsia="zh-CN"/>
        </w:rPr>
        <w:t>深入镇（街道）、村（社区）和养老服务机构等基层；活动结束后可组织优秀节目深入基层展演，进一步扩大品牌影响力，让“苏式颐养·银龄乐享”品牌及子品牌深入人心。</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黑体" w:cs="Times New Roman"/>
          <w:sz w:val="32"/>
          <w:szCs w:val="32"/>
          <w:highlight w:val="none"/>
          <w:lang w:val="en-US" w:eastAsia="zh-CN"/>
        </w:rPr>
      </w:pPr>
      <w:bookmarkStart w:id="11" w:name="_Toc15453"/>
      <w:r>
        <w:rPr>
          <w:rFonts w:hint="default" w:ascii="Times New Roman" w:hAnsi="Times New Roman" w:eastAsia="黑体" w:cs="Times New Roman"/>
          <w:sz w:val="32"/>
          <w:szCs w:val="32"/>
          <w:highlight w:val="none"/>
          <w:lang w:val="en-US" w:eastAsia="zh-CN"/>
        </w:rPr>
        <w:t>四、强化权益保障，筑牢安全底线</w:t>
      </w:r>
      <w:bookmarkEnd w:id="11"/>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各地各单位、各主办单位要切实保障和维护老年人在文体活动中的合法权益，尊重老年人的意愿，不得强制老年人参与活动。各类文体活动坚持公益性，兼顾社会性、市场化。公益性活动，不得向参与老年人收</w:t>
      </w:r>
      <w:r>
        <w:rPr>
          <w:rFonts w:hint="eastAsia" w:ascii="Times New Roman" w:hAnsi="Times New Roman" w:eastAsia="仿宋_GB2312" w:cs="Times New Roman"/>
          <w:sz w:val="32"/>
          <w:szCs w:val="32"/>
          <w:highlight w:val="none"/>
          <w:lang w:val="en-US" w:eastAsia="zh-CN"/>
        </w:rPr>
        <w:t>取</w:t>
      </w:r>
      <w:r>
        <w:rPr>
          <w:rFonts w:hint="default" w:ascii="Times New Roman" w:hAnsi="Times New Roman" w:eastAsia="仿宋_GB2312" w:cs="Times New Roman"/>
          <w:sz w:val="32"/>
          <w:szCs w:val="32"/>
          <w:highlight w:val="none"/>
          <w:lang w:val="en-US" w:eastAsia="zh-CN"/>
        </w:rPr>
        <w:t>报名、服务等任何费用；非公益性活动，坚持自愿原则，不得强制老年人</w:t>
      </w:r>
      <w:r>
        <w:rPr>
          <w:rFonts w:hint="eastAsia" w:ascii="Times New Roman" w:hAnsi="Times New Roman" w:eastAsia="仿宋_GB2312" w:cs="Times New Roman"/>
          <w:sz w:val="32"/>
          <w:szCs w:val="32"/>
          <w:highlight w:val="none"/>
          <w:lang w:val="en-US" w:eastAsia="zh-CN"/>
        </w:rPr>
        <w:t>缴</w:t>
      </w:r>
      <w:r>
        <w:rPr>
          <w:rFonts w:hint="default" w:ascii="Times New Roman" w:hAnsi="Times New Roman" w:eastAsia="仿宋_GB2312" w:cs="Times New Roman"/>
          <w:sz w:val="32"/>
          <w:szCs w:val="32"/>
          <w:highlight w:val="none"/>
          <w:lang w:val="en-US" w:eastAsia="zh-CN"/>
        </w:rPr>
        <w:t>纳相关费用。各主办单位要加强包括但不限于政府购买活动经费、社会捐助赞助经费等活动举办费用的管理，确保活动经费使用公开、透明，专款专用。要注重保护老年人的个人信息，严禁泄露老年人身份信息、联系方式等隐私内容。要加强活动中的安全保障，配备必要的急救人员和急救设备，对参与活动的老年人进行必要的安全提醒，重点关注高龄、独居、失能等特殊老年群体的活动安全，切实筑牢活动安全底线。</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黑体" w:cs="Times New Roman"/>
          <w:sz w:val="32"/>
          <w:szCs w:val="32"/>
          <w:highlight w:val="none"/>
          <w:lang w:val="en-US" w:eastAsia="zh-CN"/>
        </w:rPr>
      </w:pPr>
      <w:bookmarkStart w:id="12" w:name="_Toc26126"/>
      <w:r>
        <w:rPr>
          <w:rFonts w:hint="default" w:ascii="Times New Roman" w:hAnsi="Times New Roman" w:eastAsia="黑体" w:cs="Times New Roman"/>
          <w:sz w:val="32"/>
          <w:szCs w:val="32"/>
          <w:highlight w:val="none"/>
          <w:lang w:val="en-US" w:eastAsia="zh-CN"/>
        </w:rPr>
        <w:t>五、加强统筹协调，健全长效机制</w:t>
      </w:r>
      <w:bookmarkEnd w:id="12"/>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pacing w:val="-6"/>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市老龄办将统筹全市“苏式颐养·银龄乐享”品牌建设，并与各子品牌相关指导部门或单位共同加强对子品牌</w:t>
      </w:r>
      <w:r>
        <w:rPr>
          <w:rFonts w:hint="eastAsia" w:ascii="Times New Roman" w:hAnsi="Times New Roman" w:eastAsia="仿宋_GB2312" w:cs="Times New Roman"/>
          <w:sz w:val="32"/>
          <w:szCs w:val="32"/>
          <w:highlight w:val="none"/>
          <w:lang w:val="en-US" w:eastAsia="zh-CN"/>
        </w:rPr>
        <w:t>相关</w:t>
      </w:r>
      <w:r>
        <w:rPr>
          <w:rFonts w:hint="default" w:ascii="Times New Roman" w:hAnsi="Times New Roman" w:eastAsia="仿宋_GB2312" w:cs="Times New Roman"/>
          <w:sz w:val="32"/>
          <w:szCs w:val="32"/>
          <w:highlight w:val="none"/>
          <w:lang w:val="en-US" w:eastAsia="zh-CN"/>
        </w:rPr>
        <w:t>涉老文体活动的指导，定期对活动开展情况进行督导检查，</w:t>
      </w:r>
      <w:r>
        <w:rPr>
          <w:rFonts w:hint="eastAsia" w:ascii="Times New Roman" w:hAnsi="Times New Roman" w:eastAsia="仿宋_GB2312" w:cs="Times New Roman"/>
          <w:sz w:val="32"/>
          <w:szCs w:val="32"/>
          <w:highlight w:val="none"/>
          <w:lang w:val="en-US" w:eastAsia="zh-CN"/>
        </w:rPr>
        <w:t>并建立各子品牌交流协作机制，</w:t>
      </w:r>
      <w:r>
        <w:rPr>
          <w:rFonts w:hint="default" w:ascii="Times New Roman" w:hAnsi="Times New Roman" w:eastAsia="仿宋_GB2312" w:cs="Times New Roman"/>
          <w:sz w:val="32"/>
          <w:szCs w:val="32"/>
          <w:highlight w:val="none"/>
          <w:lang w:val="en-US" w:eastAsia="zh-CN"/>
        </w:rPr>
        <w:t>总结推广好经验、好做法，对组织规范、成效显著的主办单位和子品牌活动予以通报表扬。鼓励各活动主办单位结合举办文体活动打造涉及老年人产品或服务的市集、小型博览等银发消费场景，促进老年人消费。市老龄委各</w:t>
      </w:r>
      <w:r>
        <w:rPr>
          <w:rFonts w:hint="default" w:ascii="Times New Roman" w:hAnsi="Times New Roman" w:eastAsia="仿宋_GB2312" w:cs="Times New Roman"/>
          <w:spacing w:val="-6"/>
          <w:sz w:val="32"/>
          <w:szCs w:val="32"/>
          <w:highlight w:val="none"/>
          <w:lang w:val="en-US" w:eastAsia="zh-CN"/>
        </w:rPr>
        <w:t>相关成员单位</w:t>
      </w:r>
      <w:r>
        <w:rPr>
          <w:rFonts w:hint="eastAsia" w:ascii="Times New Roman" w:hAnsi="Times New Roman" w:eastAsia="仿宋_GB2312" w:cs="Times New Roman"/>
          <w:spacing w:val="-6"/>
          <w:sz w:val="32"/>
          <w:szCs w:val="32"/>
          <w:highlight w:val="none"/>
          <w:lang w:val="en-US" w:eastAsia="zh-CN"/>
        </w:rPr>
        <w:t>、</w:t>
      </w:r>
      <w:r>
        <w:rPr>
          <w:rFonts w:hint="default" w:ascii="Times New Roman" w:hAnsi="Times New Roman" w:eastAsia="仿宋_GB2312" w:cs="Times New Roman"/>
          <w:spacing w:val="-6"/>
          <w:sz w:val="32"/>
          <w:szCs w:val="32"/>
          <w:highlight w:val="none"/>
          <w:lang w:val="en-US" w:eastAsia="zh-CN"/>
        </w:rPr>
        <w:t>各县级市（区）老龄办要加强沟通协调，建立健全信息共享、协同推进的工作机制，及时解决活动开展过程中遇到的问题，推动我市涉老文体活动持续健康发展，助力打造具有苏州特色的为老、助老、养老、享老的“苏式颐养·银龄乐享”品牌。</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请各单位结合实际，认真抓好贯彻落实，确保各项要求落地见效。</w:t>
      </w:r>
      <w:r>
        <w:rPr>
          <w:rFonts w:hint="eastAsia" w:ascii="Times New Roman" w:hAnsi="Times New Roman" w:eastAsia="仿宋_GB2312" w:cs="Times New Roman"/>
          <w:sz w:val="32"/>
          <w:szCs w:val="32"/>
          <w:highlight w:val="none"/>
          <w:lang w:val="en-US" w:eastAsia="zh-CN"/>
        </w:rPr>
        <w:t>各子品牌</w:t>
      </w:r>
      <w:r>
        <w:rPr>
          <w:rFonts w:hint="default" w:ascii="Times New Roman" w:hAnsi="Times New Roman" w:eastAsia="仿宋_GB2312" w:cs="Times New Roman"/>
          <w:sz w:val="32"/>
          <w:szCs w:val="32"/>
          <w:highlight w:val="none"/>
          <w:lang w:val="en-US" w:eastAsia="zh-CN"/>
        </w:rPr>
        <w:t>活动</w:t>
      </w:r>
      <w:r>
        <w:rPr>
          <w:rFonts w:hint="eastAsia" w:ascii="Times New Roman" w:hAnsi="Times New Roman" w:eastAsia="仿宋_GB2312" w:cs="Times New Roman"/>
          <w:sz w:val="32"/>
          <w:szCs w:val="32"/>
          <w:highlight w:val="none"/>
          <w:lang w:val="en-US" w:eastAsia="zh-CN"/>
        </w:rPr>
        <w:t>需</w:t>
      </w:r>
      <w:r>
        <w:rPr>
          <w:rFonts w:hint="default" w:ascii="Times New Roman" w:hAnsi="Times New Roman" w:eastAsia="仿宋_GB2312" w:cs="Times New Roman"/>
          <w:sz w:val="32"/>
          <w:szCs w:val="32"/>
          <w:highlight w:val="none"/>
          <w:lang w:val="en-US" w:eastAsia="zh-CN"/>
        </w:rPr>
        <w:t>向市老龄办报备及相关咨询工作</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，请联系徐为军，联系电话：82280382，邮箱：</w:t>
      </w:r>
      <w:r>
        <w:rPr>
          <w:rFonts w:hint="default" w:ascii="Times New Roman" w:hAnsi="Times New Roman" w:eastAsia="仿宋_GB2312" w:cs="Times New Roman"/>
          <w:color w:val="auto"/>
          <w:sz w:val="32"/>
          <w:szCs w:val="32"/>
          <w:highlight w:val="none"/>
          <w:u w:val="none"/>
          <w:lang w:val="en-US" w:eastAsia="zh-CN"/>
        </w:rPr>
        <w:t>LLgzc@mzj.suzhou.gov.cn。</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附件：“苏式颐养·银龄乐享”子品牌活动报告或报备表</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2320" w:firstLineChars="725"/>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苏州市老龄工作委员会办公室</w:t>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2320" w:firstLineChars="725"/>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2026年</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月</w:t>
      </w:r>
      <w:r>
        <w:rPr>
          <w:rFonts w:hint="eastAsia" w:cs="Times New Roman"/>
          <w:sz w:val="32"/>
          <w:szCs w:val="32"/>
          <w:highlight w:val="none"/>
          <w:lang w:val="en-US" w:eastAsia="zh-CN"/>
        </w:rPr>
        <w:t>16</w:t>
      </w:r>
      <w:r>
        <w:rPr>
          <w:rFonts w:hint="default" w:ascii="Times New Roman" w:hAnsi="Times New Roman" w:eastAsia="仿宋_GB2312" w:cs="Times New Roman"/>
          <w:sz w:val="32"/>
          <w:szCs w:val="32"/>
          <w:highlight w:val="none"/>
          <w:lang w:val="en-US" w:eastAsia="zh-CN"/>
        </w:rPr>
        <w:t>日</w:t>
      </w:r>
    </w:p>
    <w:p>
      <w:pPr>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br w:type="page"/>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36"/>
          <w:szCs w:val="36"/>
          <w:highlight w:val="none"/>
          <w:lang w:val="en-US" w:eastAsia="zh-CN"/>
        </w:rPr>
      </w:pPr>
      <w:r>
        <w:rPr>
          <w:rFonts w:hint="eastAsia" w:ascii="方正小标宋_GBK" w:hAnsi="方正小标宋_GBK" w:eastAsia="方正小标宋_GBK" w:cs="方正小标宋_GBK"/>
          <w:sz w:val="36"/>
          <w:szCs w:val="36"/>
          <w:highlight w:val="none"/>
          <w:lang w:val="en-US" w:eastAsia="zh-CN"/>
        </w:rPr>
        <w:t>“苏式颐养·银龄乐享”子品牌</w:t>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36"/>
          <w:szCs w:val="36"/>
          <w:highlight w:val="none"/>
          <w:lang w:val="en-US" w:eastAsia="zh-CN"/>
        </w:rPr>
      </w:pPr>
      <w:r>
        <w:rPr>
          <w:rFonts w:hint="eastAsia" w:ascii="方正小标宋_GBK" w:hAnsi="方正小标宋_GBK" w:eastAsia="方正小标宋_GBK" w:cs="方正小标宋_GBK"/>
          <w:sz w:val="36"/>
          <w:szCs w:val="36"/>
          <w:highlight w:val="none"/>
          <w:lang w:val="en-US" w:eastAsia="zh-CN"/>
        </w:rPr>
        <w:t>活动报告或报备表</w:t>
      </w:r>
    </w:p>
    <w:p>
      <w:pPr>
        <w:keepNext w:val="0"/>
        <w:keepLines w:val="0"/>
        <w:pageBreakBefore w:val="0"/>
        <w:widowControl w:val="0"/>
        <w:kinsoku/>
        <w:wordWrap/>
        <w:overflowPunct w:val="0"/>
        <w:topLinePunct w:val="0"/>
        <w:autoSpaceDE/>
        <w:autoSpaceDN/>
        <w:bidi w:val="0"/>
        <w:adjustRightInd/>
        <w:snapToGrid/>
        <w:spacing w:line="360" w:lineRule="exact"/>
        <w:ind w:left="0" w:leftChars="0" w:firstLine="0" w:firstLineChars="0"/>
        <w:jc w:val="center"/>
        <w:textAlignment w:val="auto"/>
        <w:rPr>
          <w:rFonts w:hint="eastAsia" w:ascii="方正小标宋_GBK" w:hAnsi="方正小标宋_GBK" w:eastAsia="方正小标宋_GBK" w:cs="方正小标宋_GBK"/>
          <w:sz w:val="36"/>
          <w:szCs w:val="36"/>
          <w:highlight w:val="none"/>
          <w:lang w:val="en-US" w:eastAsia="zh-CN"/>
        </w:rPr>
      </w:pPr>
    </w:p>
    <w:tbl>
      <w:tblPr>
        <w:tblStyle w:val="7"/>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 w:type="dxa"/>
          <w:bottom w:w="0" w:type="dxa"/>
          <w:right w:w="10" w:type="dxa"/>
        </w:tblCellMar>
      </w:tblPr>
      <w:tblGrid>
        <w:gridCol w:w="1940"/>
        <w:gridCol w:w="703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填报项目</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填写内容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活动全称</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主办单位</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（全称、统一社会信用代码、地址）</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承办/协办单位</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活动负责人</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姓名、职务、联系电话、邮箱</w:t>
            </w:r>
            <w:r>
              <w:rPr>
                <w:rFonts w:hint="eastAsia" w:ascii="仿宋_GB2312" w:hAnsi="仿宋_GB2312" w:eastAsia="仿宋_GB2312" w:cs="仿宋_GB2312"/>
                <w:sz w:val="24"/>
                <w:szCs w:val="24"/>
                <w:lang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活动类别</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1"/>
                <w:sz w:val="24"/>
                <w:szCs w:val="24"/>
              </w:rPr>
              <w:t>□文化艺术类 □体育健身类 □科普教育类 □才艺展示类 □综合类</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活动主题与宗旨</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活动时间</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计划举办时间、时长、场次</w:t>
            </w:r>
            <w:r>
              <w:rPr>
                <w:rFonts w:hint="eastAsia" w:ascii="仿宋_GB2312" w:hAnsi="仿宋_GB2312" w:eastAsia="仿宋_GB2312" w:cs="仿宋_GB2312"/>
                <w:sz w:val="24"/>
                <w:szCs w:val="24"/>
                <w:lang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活动地点</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（具体场地、室内/室外</w:t>
            </w:r>
            <w:r>
              <w:rPr>
                <w:rFonts w:hint="eastAsia" w:ascii="仿宋_GB2312" w:hAnsi="仿宋_GB2312" w:eastAsia="仿宋_GB2312" w:cs="仿宋_GB2312"/>
                <w:sz w:val="24"/>
                <w:szCs w:val="24"/>
                <w:lang w:eastAsia="zh-CN"/>
              </w:rPr>
              <w:t>相应地点</w:t>
            </w:r>
            <w:r>
              <w:rPr>
                <w:rFonts w:hint="eastAsia" w:ascii="仿宋_GB2312" w:hAnsi="仿宋_GB2312" w:eastAsia="仿宋_GB2312" w:cs="仿宋_GB2312"/>
                <w:sz w:val="24"/>
                <w:szCs w:val="24"/>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服务对象与规模</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预计参与老年人数、年龄范围、覆盖区域</w:t>
            </w:r>
            <w:r>
              <w:rPr>
                <w:rFonts w:hint="eastAsia" w:ascii="仿宋_GB2312" w:hAnsi="仿宋_GB2312" w:eastAsia="仿宋_GB2312" w:cs="仿宋_GB2312"/>
                <w:sz w:val="24"/>
                <w:szCs w:val="24"/>
                <w:lang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活动主要内容</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流程安排、形式、亮点特色</w:t>
            </w:r>
            <w:r>
              <w:rPr>
                <w:rFonts w:hint="eastAsia" w:ascii="仿宋_GB2312" w:hAnsi="仿宋_GB2312" w:eastAsia="仿宋_GB2312" w:cs="仿宋_GB2312"/>
                <w:sz w:val="24"/>
                <w:szCs w:val="24"/>
                <w:lang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经费来源</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□财政资金 □社会赞助 □企业自筹 □其他</w:t>
            </w:r>
            <w:r>
              <w:rPr>
                <w:rFonts w:hint="eastAsia" w:ascii="仿宋_GB2312" w:hAnsi="仿宋_GB2312" w:eastAsia="仿宋_GB2312" w:cs="仿宋_GB2312"/>
                <w:sz w:val="24"/>
                <w:szCs w:val="24"/>
                <w:u w:val="single"/>
                <w:lang w:val="en-US" w:eastAsia="zh-CN"/>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收费情况</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□全公益免费 □自愿有偿（注明标准）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安全保障措施</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应急预案、保险配置、医疗保障、消防措施等</w:t>
            </w:r>
            <w:r>
              <w:rPr>
                <w:rFonts w:hint="eastAsia" w:ascii="仿宋_GB2312" w:hAnsi="仿宋_GB2312" w:eastAsia="仿宋_GB2312" w:cs="仿宋_GB2312"/>
                <w:sz w:val="24"/>
                <w:szCs w:val="24"/>
                <w:lang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过往举办情况</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历年举办时间、规模、成效、媒体报道</w:t>
            </w:r>
            <w:r>
              <w:rPr>
                <w:rFonts w:hint="eastAsia" w:ascii="仿宋_GB2312" w:hAnsi="仿宋_GB2312" w:eastAsia="仿宋_GB2312" w:cs="仿宋_GB2312"/>
                <w:sz w:val="24"/>
                <w:szCs w:val="24"/>
                <w:lang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宣传推广计划</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主办单位</w:t>
            </w:r>
            <w:r>
              <w:rPr>
                <w:rFonts w:hint="eastAsia" w:ascii="仿宋_GB2312" w:hAnsi="仿宋_GB2312" w:eastAsia="仿宋_GB2312" w:cs="仿宋_GB2312"/>
                <w:sz w:val="24"/>
                <w:szCs w:val="24"/>
              </w:rPr>
              <w:t>承诺</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ind w:firstLine="48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本单位承诺所填信息真实有效，严格遵守品牌管理与安全规定，自愿接受监督指导。</w:t>
            </w:r>
          </w:p>
          <w:p>
            <w:pPr>
              <w:pStyle w:val="10"/>
              <w:keepNext w:val="0"/>
              <w:keepLines w:val="0"/>
              <w:pageBreakBefore w:val="0"/>
              <w:widowControl/>
              <w:kinsoku/>
              <w:wordWrap/>
              <w:overflowPunct/>
              <w:topLinePunct w:val="0"/>
              <w:autoSpaceDE/>
              <w:autoSpaceDN/>
              <w:bidi w:val="0"/>
              <w:adjustRightInd/>
              <w:snapToGrid/>
              <w:spacing w:before="0" w:after="0" w:line="320" w:lineRule="exact"/>
              <w:ind w:left="0" w:leftChars="0" w:firstLine="4620" w:firstLineChars="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主办单位盖章</w:t>
            </w:r>
            <w:r>
              <w:rPr>
                <w:rFonts w:hint="eastAsia" w:ascii="仿宋_GB2312" w:hAnsi="仿宋_GB2312" w:eastAsia="仿宋_GB2312" w:cs="仿宋_GB2312"/>
                <w:sz w:val="24"/>
                <w:szCs w:val="24"/>
                <w:lang w:eastAsia="zh-CN"/>
              </w:rPr>
              <w:t>）</w:t>
            </w:r>
          </w:p>
          <w:p>
            <w:pPr>
              <w:pStyle w:val="10"/>
              <w:keepNext w:val="0"/>
              <w:keepLines w:val="0"/>
              <w:pageBreakBefore w:val="0"/>
              <w:widowControl/>
              <w:kinsoku/>
              <w:wordWrap/>
              <w:overflowPunct/>
              <w:topLinePunct w:val="0"/>
              <w:autoSpaceDE/>
              <w:autoSpaceDN/>
              <w:bidi w:val="0"/>
              <w:adjustRightInd/>
              <w:snapToGrid/>
              <w:spacing w:before="0" w:after="0" w:line="320" w:lineRule="exact"/>
              <w:ind w:left="0" w:leftChars="0" w:firstLine="0" w:firstLineChars="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负责人签字：</w:t>
            </w:r>
            <w:r>
              <w:rPr>
                <w:rFonts w:hint="eastAsia" w:ascii="仿宋_GB2312" w:hAnsi="仿宋_GB2312" w:eastAsia="仿宋_GB2312" w:cs="仿宋_GB2312"/>
                <w:sz w:val="24"/>
                <w:szCs w:val="24"/>
                <w:lang w:val="en-US" w:eastAsia="zh-CN"/>
              </w:rPr>
              <w:t xml:space="preserve">        电话：                    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trHeight w:val="170" w:hRule="atLeast"/>
        </w:trPr>
        <w:tc>
          <w:tcPr>
            <w:tcW w:w="1081" w:type="pct"/>
            <w:tcBorders>
              <w:tl2br w:val="nil"/>
              <w:tr2bl w:val="nil"/>
            </w:tcBorders>
            <w:tcMar>
              <w:top w:w="60" w:type="dxa"/>
              <w:left w:w="120" w:type="dxa"/>
              <w:bottom w:w="30" w:type="dxa"/>
              <w:right w:w="120" w:type="dxa"/>
            </w:tcMar>
            <w:vAlign w:val="center"/>
          </w:tcPr>
          <w:p>
            <w:pPr>
              <w:pStyle w:val="10"/>
              <w:keepNext w:val="0"/>
              <w:keepLines w:val="0"/>
              <w:pageBreakBefore w:val="0"/>
              <w:widowControl/>
              <w:kinsoku/>
              <w:wordWrap/>
              <w:overflowPunct/>
              <w:topLinePunct w:val="0"/>
              <w:autoSpaceDE/>
              <w:autoSpaceDN/>
              <w:bidi w:val="0"/>
              <w:adjustRightInd/>
              <w:snapToGrid/>
              <w:spacing w:before="0" w:after="0" w:line="32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属地老龄办/业务主管单位意见</w:t>
            </w:r>
          </w:p>
        </w:tc>
        <w:tc>
          <w:tcPr>
            <w:tcW w:w="3918" w:type="pct"/>
            <w:tcBorders>
              <w:tl2br w:val="nil"/>
              <w:tr2bl w:val="nil"/>
            </w:tcBorders>
            <w:tcMar>
              <w:top w:w="60" w:type="dxa"/>
              <w:left w:w="120" w:type="dxa"/>
              <w:bottom w:w="30" w:type="dxa"/>
              <w:right w:w="120" w:type="dxa"/>
            </w:tcMar>
          </w:tcPr>
          <w:p>
            <w:pPr>
              <w:pStyle w:val="10"/>
              <w:keepNext w:val="0"/>
              <w:keepLines w:val="0"/>
              <w:pageBreakBefore w:val="0"/>
              <w:widowControl/>
              <w:kinsoku/>
              <w:wordWrap/>
              <w:overflowPunct/>
              <w:topLinePunct w:val="0"/>
              <w:autoSpaceDE/>
              <w:autoSpaceDN/>
              <w:bidi w:val="0"/>
              <w:adjustRightInd/>
              <w:snapToGrid/>
              <w:spacing w:before="0" w:after="0" w:line="320" w:lineRule="exact"/>
              <w:ind w:left="0" w:leftChars="0" w:firstLine="3578" w:firstLineChars="1491"/>
              <w:jc w:val="left"/>
              <w:textAlignment w:val="auto"/>
              <w:rPr>
                <w:rFonts w:hint="eastAsia" w:ascii="仿宋_GB2312" w:hAnsi="仿宋_GB2312" w:eastAsia="仿宋_GB2312" w:cs="仿宋_GB2312"/>
                <w:sz w:val="24"/>
                <w:szCs w:val="24"/>
                <w:lang w:eastAsia="zh-CN"/>
              </w:rPr>
            </w:pPr>
          </w:p>
          <w:p>
            <w:pPr>
              <w:pStyle w:val="10"/>
              <w:keepNext w:val="0"/>
              <w:keepLines w:val="0"/>
              <w:pageBreakBefore w:val="0"/>
              <w:widowControl/>
              <w:kinsoku/>
              <w:wordWrap/>
              <w:overflowPunct/>
              <w:topLinePunct w:val="0"/>
              <w:autoSpaceDE/>
              <w:autoSpaceDN/>
              <w:bidi w:val="0"/>
              <w:adjustRightInd/>
              <w:snapToGrid/>
              <w:spacing w:before="0" w:after="0" w:line="320" w:lineRule="exact"/>
              <w:ind w:left="0" w:leftChars="0" w:firstLine="4620" w:firstLineChars="1925"/>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（单位</w:t>
            </w:r>
            <w:r>
              <w:rPr>
                <w:rFonts w:hint="eastAsia" w:ascii="仿宋_GB2312" w:hAnsi="仿宋_GB2312" w:eastAsia="仿宋_GB2312" w:cs="仿宋_GB2312"/>
                <w:sz w:val="24"/>
                <w:szCs w:val="24"/>
              </w:rPr>
              <w:t>盖章</w:t>
            </w:r>
            <w:r>
              <w:rPr>
                <w:rFonts w:hint="eastAsia" w:ascii="仿宋_GB2312" w:hAnsi="仿宋_GB2312" w:eastAsia="仿宋_GB2312" w:cs="仿宋_GB2312"/>
                <w:sz w:val="24"/>
                <w:szCs w:val="24"/>
                <w:lang w:eastAsia="zh-CN"/>
              </w:rPr>
              <w:t>）</w:t>
            </w:r>
          </w:p>
          <w:p>
            <w:pPr>
              <w:pStyle w:val="10"/>
              <w:keepNext w:val="0"/>
              <w:keepLines w:val="0"/>
              <w:pageBreakBefore w:val="0"/>
              <w:widowControl/>
              <w:kinsoku/>
              <w:wordWrap/>
              <w:overflowPunct/>
              <w:topLinePunct w:val="0"/>
              <w:autoSpaceDE/>
              <w:autoSpaceDN/>
              <w:bidi w:val="0"/>
              <w:adjustRightInd/>
              <w:snapToGrid/>
              <w:spacing w:before="0" w:after="0" w:line="32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承办人签字：</w:t>
            </w:r>
            <w:r>
              <w:rPr>
                <w:rFonts w:hint="eastAsia" w:ascii="仿宋_GB2312" w:hAnsi="仿宋_GB2312" w:eastAsia="仿宋_GB2312" w:cs="仿宋_GB2312"/>
                <w:sz w:val="24"/>
                <w:szCs w:val="24"/>
                <w:lang w:val="en-US" w:eastAsia="zh-CN"/>
              </w:rPr>
              <w:t xml:space="preserve">        电话：                   年   月   日</w:t>
            </w:r>
          </w:p>
        </w:tc>
      </w:tr>
    </w:tbl>
    <w:p>
      <w:pPr>
        <w:pStyle w:val="10"/>
        <w:keepNext w:val="0"/>
        <w:keepLines w:val="0"/>
        <w:pageBreakBefore w:val="0"/>
        <w:widowControl/>
        <w:kinsoku/>
        <w:wordWrap/>
        <w:overflowPunct/>
        <w:topLinePunct w:val="0"/>
        <w:autoSpaceDE/>
        <w:autoSpaceDN/>
        <w:bidi w:val="0"/>
        <w:adjustRightInd/>
        <w:snapToGrid/>
        <w:spacing w:before="0" w:after="0" w:line="3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备注：1．本表一式两份，主办单位、属地老龄办或业务主管单位各留存1份，电子版同步报送市老龄办邮箱；2．需附材料：活动详细方案、安全应急预案、经费预算、单位资质证明等。</w:t>
      </w:r>
      <w:bookmarkEnd w:id="2"/>
    </w:p>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br w:type="page"/>
      </w: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line="578" w:lineRule="exact"/>
        <w:ind w:firstLine="640" w:firstLineChars="200"/>
        <w:rPr>
          <w:rFonts w:hint="default" w:ascii="仿宋_GB2312" w:hAnsi="仿宋_GB2312" w:eastAsia="仿宋_GB2312" w:cs="仿宋_GB2312"/>
          <w:color w:val="000000"/>
          <w:spacing w:val="0"/>
          <w:kern w:val="0"/>
          <w:sz w:val="32"/>
          <w:szCs w:val="32"/>
          <w:lang w:val="en-US" w:eastAsia="zh-CN" w:bidi="ar"/>
        </w:rPr>
      </w:pPr>
    </w:p>
    <w:p>
      <w:pPr>
        <w:spacing w:before="312" w:beforeLines="100" w:line="580" w:lineRule="exact"/>
        <w:rPr>
          <w:rFonts w:hint="default" w:ascii="Times New Roman" w:hAnsi="Times New Roman" w:eastAsia="仿宋_GB2312" w:cs="Times New Roman"/>
          <w:kern w:val="1"/>
          <w:sz w:val="32"/>
        </w:rPr>
      </w:pPr>
    </w:p>
    <w:p>
      <w:pPr>
        <w:spacing w:before="312" w:beforeLines="100" w:line="580" w:lineRule="exact"/>
        <w:rPr>
          <w:rFonts w:hint="default" w:ascii="Times New Roman" w:hAnsi="Times New Roman" w:eastAsia="仿宋_GB2312" w:cs="Times New Roman"/>
          <w:kern w:val="1"/>
          <w:sz w:val="32"/>
        </w:rPr>
      </w:pPr>
    </w:p>
    <w:p>
      <w:pPr>
        <w:spacing w:before="312" w:beforeLines="100" w:line="580" w:lineRule="exact"/>
        <w:rPr>
          <w:rFonts w:hint="default" w:ascii="Times New Roman" w:hAnsi="Times New Roman" w:eastAsia="仿宋_GB2312" w:cs="Times New Roman"/>
          <w:kern w:val="1"/>
          <w:sz w:val="32"/>
        </w:rPr>
      </w:pPr>
    </w:p>
    <w:p>
      <w:pPr>
        <w:spacing w:before="312" w:beforeLines="100" w:line="580" w:lineRule="exact"/>
        <w:rPr>
          <w:rFonts w:hint="default" w:ascii="Times New Roman" w:hAnsi="Times New Roman" w:eastAsia="仿宋_GB2312" w:cs="Times New Roman"/>
          <w:kern w:val="1"/>
          <w:sz w:val="32"/>
        </w:rPr>
      </w:pPr>
    </w:p>
    <w:p>
      <w:pPr>
        <w:spacing w:before="312" w:beforeLines="100" w:line="580" w:lineRule="exact"/>
        <w:rPr>
          <w:rFonts w:hint="default" w:ascii="Times New Roman" w:hAnsi="Times New Roman" w:eastAsia="仿宋_GB2312" w:cs="Times New Roman"/>
          <w:kern w:val="1"/>
          <w:sz w:val="32"/>
        </w:rPr>
      </w:pPr>
    </w:p>
    <w:p>
      <w:pPr>
        <w:keepNext w:val="0"/>
        <w:keepLines w:val="0"/>
        <w:pageBreakBefore w:val="0"/>
        <w:widowControl w:val="0"/>
        <w:kinsoku/>
        <w:wordWrap/>
        <w:overflowPunct/>
        <w:topLinePunct w:val="0"/>
        <w:autoSpaceDE/>
        <w:autoSpaceDN/>
        <w:bidi w:val="0"/>
        <w:adjustRightInd/>
        <w:snapToGrid/>
        <w:spacing w:before="625" w:beforeLines="200" w:line="580" w:lineRule="exact"/>
        <w:textAlignment w:val="auto"/>
        <w:rPr>
          <w:rFonts w:hint="default" w:ascii="Times New Roman" w:hAnsi="Times New Roman" w:eastAsia="仿宋_GB2312" w:cs="Times New Roman"/>
          <w:kern w:val="1"/>
          <w:sz w:val="32"/>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textAlignment w:val="auto"/>
        <w:rPr>
          <w:rFonts w:hint="default" w:ascii="Times New Roman" w:hAnsi="Times New Roman" w:eastAsia="仿宋_GB2312" w:cs="Times New Roman"/>
          <w:kern w:val="1"/>
          <w:sz w:val="32"/>
        </w:rPr>
      </w:pPr>
      <w:r>
        <w:rPr>
          <w:rFonts w:hint="default" w:ascii="Times New Roman" w:hAnsi="Times New Roman" w:eastAsia="仿宋_GB2312" w:cs="Times New Roman"/>
          <w:kern w:val="1"/>
          <w:sz w:val="32"/>
        </w:rPr>
        <w:t>（信息公开</w:t>
      </w:r>
      <w:r>
        <w:rPr>
          <w:rFonts w:hint="eastAsia" w:ascii="Times New Roman" w:hAnsi="Times New Roman" w:eastAsia="仿宋_GB2312" w:cs="Times New Roman"/>
          <w:kern w:val="1"/>
          <w:sz w:val="32"/>
          <w:lang w:eastAsia="zh-CN"/>
        </w:rPr>
        <w:t>形式</w:t>
      </w:r>
      <w:r>
        <w:rPr>
          <w:rFonts w:hint="default" w:ascii="Times New Roman" w:hAnsi="Times New Roman" w:eastAsia="仿宋_GB2312" w:cs="Times New Roman"/>
          <w:kern w:val="1"/>
          <w:sz w:val="32"/>
        </w:rPr>
        <w:t>：</w:t>
      </w:r>
      <w:r>
        <w:rPr>
          <w:rFonts w:hint="eastAsia" w:ascii="Times New Roman" w:hAnsi="Times New Roman" w:cs="Times New Roman"/>
          <w:kern w:val="1"/>
          <w:sz w:val="32"/>
          <w:lang w:eastAsia="zh-CN"/>
        </w:rPr>
        <w:t>主动</w:t>
      </w:r>
      <w:r>
        <w:rPr>
          <w:rFonts w:hint="default" w:ascii="Times New Roman" w:hAnsi="Times New Roman" w:eastAsia="仿宋_GB2312" w:cs="Times New Roman"/>
          <w:kern w:val="1"/>
          <w:sz w:val="32"/>
        </w:rPr>
        <w:t>公开）</w:t>
      </w:r>
    </w:p>
    <w:p>
      <w:pPr>
        <w:spacing w:line="580" w:lineRule="exact"/>
        <w:rPr>
          <w:rFonts w:hint="default" w:ascii="Times New Roman" w:hAnsi="Times New Roman" w:eastAsia="仿宋_GB2312" w:cs="Times New Roman"/>
          <w:kern w:val="1"/>
          <w:sz w:val="32"/>
        </w:rPr>
      </w:pPr>
    </w:p>
    <w:tbl>
      <w:tblPr>
        <w:tblStyle w:val="8"/>
        <w:tblW w:w="0" w:type="auto"/>
        <w:jc w:val="center"/>
        <w:tblBorders>
          <w:top w:val="single" w:color="auto" w:sz="18" w:space="0"/>
          <w:left w:val="none" w:color="auto" w:sz="0" w:space="0"/>
          <w:bottom w:val="single" w:color="auto" w:sz="18"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8720"/>
      </w:tblGrid>
      <w:tr>
        <w:tblPrEx>
          <w:tblBorders>
            <w:top w:val="single" w:color="auto" w:sz="18" w:space="0"/>
            <w:left w:val="none" w:color="auto" w:sz="0" w:space="0"/>
            <w:bottom w:val="single" w:color="auto" w:sz="18"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574" w:hRule="atLeast"/>
          <w:jc w:val="center"/>
        </w:trPr>
        <w:tc>
          <w:tcPr>
            <w:tcW w:w="8720" w:type="dxa"/>
            <w:tcBorders>
              <w:top w:val="single" w:color="auto" w:sz="12" w:space="0"/>
              <w:bottom w:val="single" w:color="auto" w:sz="12" w:space="0"/>
            </w:tcBorders>
            <w:vAlign w:val="center"/>
          </w:tcPr>
          <w:p>
            <w:pPr>
              <w:ind w:right="320" w:rightChars="100" w:firstLine="280" w:firstLineChars="100"/>
              <w:jc w:val="distribute"/>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苏州市</w:t>
            </w:r>
            <w:r>
              <w:rPr>
                <w:rFonts w:hint="eastAsia" w:ascii="Times New Roman" w:hAnsi="Times New Roman" w:eastAsia="仿宋" w:cs="Times New Roman"/>
                <w:sz w:val="28"/>
                <w:szCs w:val="28"/>
                <w:lang w:eastAsia="zh-CN"/>
              </w:rPr>
              <w:t>老龄工作委员会</w:t>
            </w:r>
            <w:r>
              <w:rPr>
                <w:rFonts w:hint="default" w:ascii="Times New Roman" w:hAnsi="Times New Roman" w:eastAsia="仿宋" w:cs="Times New Roman"/>
                <w:sz w:val="28"/>
                <w:szCs w:val="28"/>
              </w:rPr>
              <w:t>办公室          202</w:t>
            </w:r>
            <w:r>
              <w:rPr>
                <w:rFonts w:hint="eastAsia" w:ascii="Times New Roman" w:hAnsi="Times New Roman" w:eastAsia="仿宋" w:cs="Times New Roman"/>
                <w:sz w:val="28"/>
                <w:szCs w:val="28"/>
                <w:lang w:val="en-US" w:eastAsia="zh-CN"/>
              </w:rPr>
              <w:t>6</w:t>
            </w:r>
            <w:r>
              <w:rPr>
                <w:rFonts w:hint="default" w:ascii="Times New Roman" w:hAnsi="Times New Roman" w:eastAsia="仿宋" w:cs="Times New Roman"/>
                <w:sz w:val="28"/>
                <w:szCs w:val="28"/>
              </w:rPr>
              <w:t>年</w:t>
            </w:r>
            <w:r>
              <w:rPr>
                <w:rFonts w:hint="eastAsia" w:ascii="Times New Roman" w:hAnsi="Times New Roman" w:eastAsia="仿宋" w:cs="Times New Roman"/>
                <w:sz w:val="28"/>
                <w:szCs w:val="28"/>
                <w:lang w:val="en-US" w:eastAsia="zh-CN"/>
              </w:rPr>
              <w:t>6</w:t>
            </w:r>
            <w:r>
              <w:rPr>
                <w:rFonts w:hint="default"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16</w:t>
            </w:r>
            <w:r>
              <w:rPr>
                <w:rFonts w:hint="default" w:ascii="Times New Roman" w:hAnsi="Times New Roman" w:eastAsia="仿宋" w:cs="Times New Roman"/>
                <w:sz w:val="28"/>
                <w:szCs w:val="28"/>
              </w:rPr>
              <w:t>日印发</w:t>
            </w:r>
          </w:p>
        </w:tc>
      </w:tr>
    </w:tbl>
    <w:p>
      <w:pPr>
        <w:pStyle w:val="10"/>
        <w:keepNext w:val="0"/>
        <w:keepLines w:val="0"/>
        <w:pageBreakBefore w:val="0"/>
        <w:widowControl/>
        <w:kinsoku/>
        <w:wordWrap/>
        <w:overflowPunct/>
        <w:topLinePunct w:val="0"/>
        <w:autoSpaceDE/>
        <w:autoSpaceDN/>
        <w:bidi w:val="0"/>
        <w:adjustRightInd/>
        <w:snapToGrid/>
        <w:spacing w:before="0" w:after="0" w:line="20" w:lineRule="exact"/>
        <w:jc w:val="both"/>
        <w:textAlignment w:val="auto"/>
        <w:rPr>
          <w:rFonts w:hint="default" w:ascii="仿宋_GB2312" w:hAnsi="仿宋_GB2312" w:eastAsia="仿宋_GB2312" w:cs="仿宋_GB2312"/>
          <w:sz w:val="24"/>
          <w:szCs w:val="24"/>
          <w:lang w:val="en-US" w:eastAsia="zh-CN"/>
        </w:rPr>
      </w:pPr>
    </w:p>
    <w:sectPr>
      <w:footerReference r:id="rId5" w:type="default"/>
      <w:pgSz w:w="11906" w:h="16838"/>
      <w:pgMar w:top="2041" w:right="1587" w:bottom="1928" w:left="1587" w:header="851" w:footer="1417"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bidi w:val="0"/>
                            <w:adjustRightInd/>
                            <w:snapToGrid w:val="0"/>
                            <w:ind w:left="320" w:leftChars="10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bidi w:val="0"/>
                      <w:adjustRightInd/>
                      <w:snapToGrid w:val="0"/>
                      <w:ind w:left="320" w:leftChars="10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4D664F"/>
    <w:rsid w:val="004C398A"/>
    <w:rsid w:val="00847367"/>
    <w:rsid w:val="01582E9E"/>
    <w:rsid w:val="01FD1B87"/>
    <w:rsid w:val="045E55E2"/>
    <w:rsid w:val="06E572F2"/>
    <w:rsid w:val="117E178E"/>
    <w:rsid w:val="11AB600B"/>
    <w:rsid w:val="11C4583B"/>
    <w:rsid w:val="15A81931"/>
    <w:rsid w:val="1BE35EAC"/>
    <w:rsid w:val="1D4D664F"/>
    <w:rsid w:val="1DE974B3"/>
    <w:rsid w:val="1ED67651"/>
    <w:rsid w:val="202E777C"/>
    <w:rsid w:val="21602CFF"/>
    <w:rsid w:val="22C61860"/>
    <w:rsid w:val="24001E9D"/>
    <w:rsid w:val="25BF65FB"/>
    <w:rsid w:val="2C3F3131"/>
    <w:rsid w:val="2D541EEA"/>
    <w:rsid w:val="30B11567"/>
    <w:rsid w:val="31F612EE"/>
    <w:rsid w:val="366636D7"/>
    <w:rsid w:val="369D7B35"/>
    <w:rsid w:val="3BAD2EDF"/>
    <w:rsid w:val="3F8548C3"/>
    <w:rsid w:val="43E715F4"/>
    <w:rsid w:val="475C2918"/>
    <w:rsid w:val="4A984BDF"/>
    <w:rsid w:val="5D99089C"/>
    <w:rsid w:val="5DB623CB"/>
    <w:rsid w:val="5EEC74C9"/>
    <w:rsid w:val="5F521D57"/>
    <w:rsid w:val="64103515"/>
    <w:rsid w:val="64615D3C"/>
    <w:rsid w:val="65F4039B"/>
    <w:rsid w:val="66311E10"/>
    <w:rsid w:val="663414BA"/>
    <w:rsid w:val="67734765"/>
    <w:rsid w:val="68215920"/>
    <w:rsid w:val="6E8D60B9"/>
    <w:rsid w:val="6F5C2C41"/>
    <w:rsid w:val="72F21524"/>
    <w:rsid w:val="74EB67EA"/>
    <w:rsid w:val="769A75E7"/>
    <w:rsid w:val="7AD33C0D"/>
    <w:rsid w:val="7FE12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djustRightInd w:val="0"/>
      <w:ind w:firstLine="420"/>
      <w:jc w:val="left"/>
      <w:textAlignment w:val="baseline"/>
    </w:pPr>
    <w:rPr>
      <w:rFonts w:ascii="Times New Roman" w:hAnsi="Times New Roman" w:eastAsia="楷体_GB2312"/>
      <w:sz w:val="24"/>
      <w:szCs w:val="20"/>
    </w:rPr>
  </w:style>
  <w:style w:type="paragraph" w:styleId="4">
    <w:name w:val="Body Text"/>
    <w:basedOn w:val="1"/>
    <w:next w:val="3"/>
    <w:qFormat/>
    <w:uiPriority w:val="0"/>
    <w:pPr>
      <w:jc w:val="center"/>
    </w:pPr>
    <w:rPr>
      <w:sz w:val="4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7</TotalTime>
  <ScaleCrop>false</ScaleCrop>
  <LinksUpToDate>false</LinksUpToDate>
  <CharactersWithSpaces>0</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2026-05-21T06:10:00Z</dcterms:created>
  <dc:creator>琅琊王</dc:creator>
  <cp:lastModifiedBy>琅琊王</cp:lastModifiedBy>
  <cp:lastPrinted>2026-05-22T07:19:00Z</cp:lastPrinted>
  <dcterms:modified xsi:type="dcterms:W3CDTF">2026-06-18T03:23:31Z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92A813AF16824D329A40DDE000629D44_13</vt:lpwstr>
  </property>
</Properties>
</file>