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1" w:rightFromText="181" w:vertAnchor="page" w:horzAnchor="margin" w:tblpXSpec="center" w:tblpY="20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845"/>
      </w:tblGrid>
      <w:tr w:rsidR="00747BF6" w:rsidRPr="004F2CD1">
        <w:trPr>
          <w:trHeight w:val="20"/>
        </w:trPr>
        <w:tc>
          <w:tcPr>
            <w:tcW w:w="8845" w:type="dxa"/>
            <w:vAlign w:val="center"/>
          </w:tcPr>
          <w:p w:rsidR="00747BF6" w:rsidRPr="004F2CD1" w:rsidRDefault="00E5031E">
            <w:pPr>
              <w:pStyle w:val="10"/>
              <w:tabs>
                <w:tab w:val="left" w:pos="5040"/>
              </w:tabs>
              <w:spacing w:line="560" w:lineRule="exact"/>
              <w:jc w:val="left"/>
              <w:rPr>
                <w:rFonts w:ascii="Times New Roman" w:eastAsia="黑体"/>
                <w:sz w:val="32"/>
                <w:szCs w:val="32"/>
              </w:rPr>
            </w:pPr>
            <w:r w:rsidRPr="004F2CD1">
              <w:rPr>
                <w:rFonts w:ascii="Times New Roman" w:eastAsia="黑体"/>
                <w:sz w:val="32"/>
                <w:szCs w:val="32"/>
              </w:rPr>
              <w:t xml:space="preserve">　　</w:t>
            </w:r>
          </w:p>
        </w:tc>
      </w:tr>
      <w:tr w:rsidR="00747BF6" w:rsidRPr="004F2CD1">
        <w:trPr>
          <w:trHeight w:val="1963"/>
        </w:trPr>
        <w:tc>
          <w:tcPr>
            <w:tcW w:w="8845" w:type="dxa"/>
            <w:vAlign w:val="center"/>
          </w:tcPr>
          <w:p w:rsidR="00747BF6" w:rsidRPr="004F2CD1" w:rsidRDefault="00E5031E">
            <w:pPr>
              <w:pStyle w:val="10"/>
              <w:tabs>
                <w:tab w:val="left" w:pos="5040"/>
              </w:tabs>
              <w:spacing w:line="1600" w:lineRule="exact"/>
              <w:rPr>
                <w:rFonts w:ascii="Times New Roman" w:eastAsia="黑体"/>
                <w:w w:val="68"/>
                <w:sz w:val="32"/>
                <w:szCs w:val="32"/>
              </w:rPr>
            </w:pPr>
            <w:r w:rsidRPr="004F2CD1">
              <w:rPr>
                <w:rFonts w:ascii="Times New Roman" w:eastAsia="方正小标宋简体"/>
                <w:color w:val="FF0000"/>
                <w:w w:val="50"/>
                <w:sz w:val="144"/>
              </w:rPr>
              <w:t>太仓市人民政府办公室文件</w:t>
            </w:r>
          </w:p>
        </w:tc>
      </w:tr>
      <w:tr w:rsidR="00747BF6" w:rsidRPr="004F2CD1">
        <w:trPr>
          <w:trHeight w:val="20"/>
        </w:trPr>
        <w:tc>
          <w:tcPr>
            <w:tcW w:w="8845" w:type="dxa"/>
            <w:vAlign w:val="center"/>
          </w:tcPr>
          <w:p w:rsidR="00747BF6" w:rsidRPr="004F2CD1" w:rsidRDefault="00747BF6">
            <w:pPr>
              <w:pStyle w:val="10"/>
              <w:tabs>
                <w:tab w:val="left" w:pos="5040"/>
              </w:tabs>
              <w:spacing w:line="560" w:lineRule="exact"/>
              <w:rPr>
                <w:rFonts w:ascii="Times New Roman" w:eastAsia="方正小标宋简体"/>
              </w:rPr>
            </w:pPr>
          </w:p>
        </w:tc>
      </w:tr>
      <w:tr w:rsidR="00747BF6" w:rsidRPr="004F2CD1">
        <w:trPr>
          <w:trHeight w:val="712"/>
        </w:trPr>
        <w:tc>
          <w:tcPr>
            <w:tcW w:w="8845" w:type="dxa"/>
          </w:tcPr>
          <w:p w:rsidR="00747BF6" w:rsidRPr="004F2CD1" w:rsidRDefault="002A6D1E" w:rsidP="004F2CD1">
            <w:pPr>
              <w:tabs>
                <w:tab w:val="left" w:pos="8364"/>
              </w:tabs>
              <w:spacing w:line="560" w:lineRule="exact"/>
              <w:ind w:firstLine="0"/>
              <w:jc w:val="center"/>
              <w:rPr>
                <w:rFonts w:ascii="Times New Roman" w:eastAsia="方正大标宋简体"/>
                <w:szCs w:val="32"/>
              </w:rPr>
            </w:pPr>
            <w:r w:rsidRPr="002A6D1E">
              <w:rPr>
                <w:rFonts w:ascii="Times New Roman" w:eastAsia="方正小标宋简体"/>
                <w:snapToGrid/>
                <w:szCs w:val="32"/>
              </w:rPr>
              <w:pict>
                <v:shapetype id="_x0000_t32" coordsize="21600,21600" o:spt="32" o:oned="t" path="m,l21600,21600e" filled="f">
                  <v:path arrowok="t" fillok="f" o:connecttype="none"/>
                  <o:lock v:ext="edit" shapetype="t"/>
                </v:shapetype>
                <v:shape id="自选图形 6" o:spid="_x0000_s1026" type="#_x0000_t32" style="position:absolute;left:0;text-align:left;margin-left:0;margin-top:35.7pt;width:442.2pt;height:.05pt;z-index:251659264;mso-position-horizontal:center;mso-position-horizontal-relative:text;mso-position-vertical-relative:text;mso-width-relative:page;mso-height-relative:page" o:gfxdata="UEsDBAoAAAAAAIdO4kAAAAAAAAAAAAAAAAAEAAAAZHJzL1BLAwQUAAAACACHTuJAbzJCMtYAAAAG&#10;AQAADwAAAGRycy9kb3ducmV2LnhtbE2PzU7DQAyE70i8w8pI3OgmJUCUZtMDCAQXpLYc6M3NmiQi&#10;642ym/7w9LgnuHk81szncnl0vdrTGDrPBtJZAoq49rbjxsDH5vkmBxUissXeMxk4UYBldXlRYmH9&#10;gVe0X8dGSQiHAg20MQ6F1qFuyWGY+YFYvC8/Oowix0bbEQ8S7no9T5J77bBjaWhxoMeW6u/15Ay8&#10;vnHWrz6H7Wm6fX/68fkLus3cmOurNFmAinSMf8dwxhd0qIRp5ye2QfUG5JFo4CHNQImb55kMu/Pi&#10;DnRV6v/41S9QSwMEFAAAAAgAh07iQLBQx2D4AQAA5gMAAA4AAABkcnMvZTJvRG9jLnhtbK1TzY7T&#10;MBC+I/EOlu806S6tlqjpHlrKBUEl4AGmjpNY8p883qa9cUM8AzeOvAO8zUrLWzB2yi4slx7IwRl7&#10;Zr6Z7/N4cX0wmu1lQOVszaeTkjNphWuU7Wr+4f3m2RVnGME2oJ2VNT9K5NfLp08Wg6/kheudbmRg&#10;BGKxGnzN+xh9VRQoemkAJ85LS87WBQORtqErmgADoRtdXJTlvBhcaHxwQiLS6Xp08hNiOAfQta0S&#10;cu3EjZE2jqhBaohECXvlkS9zt20rRXzbtigj0zUnpjGvVITsXVqL5QKqLoDvlTi1AOe08IiTAWWp&#10;6D3UGiKwm6D+gTJKBIeujRPhTDESyYoQi2n5SJt3PXiZuZDU6O9Fx/8HK97st4GphiaBMwuGLvzu&#10;07efHz/ffvlx+/0rmyeFBo8VBa7sNpx26Lch0T20waQ/EWGHrOrxXlV5iEzQ4Ww+nb14ToIL8s0v&#10;ZwmxeEj1AeMr6QxLRs0xBlBdH1fOWro9F6ZZV9i/xjgm/k5IdbVlQ80vr6Zlwgcax5bGgEzjiRLa&#10;Liej06rZKK1TCoZut9KB7YFGYrMp6Tt19FdYqrIG7Me47EphUPUSmpe2YfHoSSxLb4SnHoxsONOS&#10;nlSycmQEpc+JJDG0JU2SzKOwydq55pj1zud0/Vm106im+fpzn7Mfnuf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8yQjLWAAAABgEAAA8AAAAAAAAAAQAgAAAAIgAAAGRycy9kb3ducmV2LnhtbFBL&#10;AQIUABQAAAAIAIdO4kCwUMdg+AEAAOYDAAAOAAAAAAAAAAEAIAAAACUBAABkcnMvZTJvRG9jLnht&#10;bFBLBQYAAAAABgAGAFkBAACPBQAAAAA=&#10;" strokecolor="red" strokeweight="3pt"/>
              </w:pict>
            </w:r>
            <w:r w:rsidR="00E5031E" w:rsidRPr="004F2CD1">
              <w:rPr>
                <w:rFonts w:ascii="Times New Roman" w:eastAsia="仿宋_GB2312"/>
                <w:szCs w:val="32"/>
              </w:rPr>
              <w:t>太政办〔</w:t>
            </w:r>
            <w:r w:rsidR="00E5031E" w:rsidRPr="004F2CD1">
              <w:rPr>
                <w:rFonts w:ascii="Times New Roman" w:eastAsia="仿宋_GB2312"/>
                <w:szCs w:val="32"/>
              </w:rPr>
              <w:t>2021</w:t>
            </w:r>
            <w:r w:rsidR="00E5031E" w:rsidRPr="004F2CD1">
              <w:rPr>
                <w:rFonts w:ascii="Times New Roman" w:eastAsia="仿宋_GB2312"/>
                <w:szCs w:val="32"/>
              </w:rPr>
              <w:t>〕</w:t>
            </w:r>
            <w:r w:rsidR="004F2CD1" w:rsidRPr="004F2CD1">
              <w:rPr>
                <w:rFonts w:ascii="Times New Roman" w:eastAsia="仿宋_GB2312"/>
                <w:szCs w:val="32"/>
              </w:rPr>
              <w:t>157</w:t>
            </w:r>
            <w:r w:rsidR="00E5031E" w:rsidRPr="004F2CD1">
              <w:rPr>
                <w:rFonts w:ascii="Times New Roman" w:eastAsia="仿宋_GB2312"/>
                <w:szCs w:val="32"/>
              </w:rPr>
              <w:t>号</w:t>
            </w:r>
          </w:p>
        </w:tc>
      </w:tr>
    </w:tbl>
    <w:p w:rsidR="00747BF6" w:rsidRPr="004F2CD1" w:rsidRDefault="00747BF6">
      <w:pPr>
        <w:pStyle w:val="10"/>
        <w:spacing w:line="560" w:lineRule="exact"/>
        <w:rPr>
          <w:rFonts w:ascii="Times New Roman" w:eastAsia="方正小标宋简体"/>
        </w:rPr>
      </w:pPr>
    </w:p>
    <w:p w:rsidR="00747BF6" w:rsidRPr="004F2CD1" w:rsidRDefault="00747BF6">
      <w:pPr>
        <w:pStyle w:val="10"/>
        <w:spacing w:line="560" w:lineRule="exact"/>
        <w:rPr>
          <w:rFonts w:ascii="Times New Roman" w:eastAsia="方正小标宋简体"/>
        </w:rPr>
      </w:pPr>
    </w:p>
    <w:p w:rsidR="00747BF6" w:rsidRPr="004F2CD1" w:rsidRDefault="00E5031E">
      <w:pPr>
        <w:pStyle w:val="10"/>
        <w:spacing w:line="560" w:lineRule="exact"/>
        <w:rPr>
          <w:rFonts w:ascii="Times New Roman" w:eastAsia="方正小标宋简体"/>
        </w:rPr>
      </w:pPr>
      <w:bookmarkStart w:id="0" w:name="_GoBack"/>
      <w:r w:rsidRPr="004F2CD1">
        <w:rPr>
          <w:rFonts w:ascii="Times New Roman" w:eastAsia="方正小标宋简体"/>
        </w:rPr>
        <w:t>市政府办公室关于印发《太仓市人才公寓建设管理实施意见（试行）》的通知</w:t>
      </w:r>
    </w:p>
    <w:bookmarkEnd w:id="0"/>
    <w:p w:rsidR="00747BF6" w:rsidRPr="004F2CD1" w:rsidRDefault="00747BF6">
      <w:pPr>
        <w:spacing w:line="560" w:lineRule="exact"/>
        <w:ind w:firstLine="0"/>
        <w:rPr>
          <w:rFonts w:ascii="Times New Roman" w:eastAsia="仿宋_GB2312"/>
          <w:szCs w:val="32"/>
        </w:rPr>
      </w:pPr>
    </w:p>
    <w:p w:rsidR="00747BF6" w:rsidRPr="004F2CD1" w:rsidRDefault="00E5031E">
      <w:pPr>
        <w:spacing w:line="560" w:lineRule="exact"/>
        <w:ind w:firstLine="0"/>
        <w:rPr>
          <w:rFonts w:ascii="Times New Roman" w:eastAsia="仿宋_GB2312"/>
          <w:szCs w:val="32"/>
        </w:rPr>
      </w:pPr>
      <w:r w:rsidRPr="004F2CD1">
        <w:rPr>
          <w:rFonts w:ascii="Times New Roman" w:eastAsia="仿宋_GB2312"/>
          <w:szCs w:val="32"/>
        </w:rPr>
        <w:t>各镇人民政府，太仓港经济技术开发区、太仓高新区、旅游度假区管委会，科教新城管委会，娄东街道、陆渡街道办事处，市各委办局，各直属单位，健雄学院：</w:t>
      </w:r>
    </w:p>
    <w:p w:rsidR="00747BF6" w:rsidRPr="004F2CD1" w:rsidRDefault="000451A1">
      <w:pPr>
        <w:pStyle w:val="ad"/>
        <w:tabs>
          <w:tab w:val="left" w:pos="1588"/>
        </w:tabs>
        <w:spacing w:line="560" w:lineRule="exact"/>
        <w:ind w:firstLine="0"/>
        <w:rPr>
          <w:rFonts w:ascii="Times New Roman" w:eastAsia="仿宋_GB2312"/>
          <w:szCs w:val="32"/>
        </w:rPr>
      </w:pPr>
      <w:r w:rsidRPr="004F2CD1">
        <w:rPr>
          <w:rFonts w:ascii="Times New Roman" w:eastAsia="仿宋_GB2312"/>
          <w:szCs w:val="32"/>
        </w:rPr>
        <w:t xml:space="preserve">    </w:t>
      </w:r>
      <w:r w:rsidR="00E5031E" w:rsidRPr="004F2CD1">
        <w:rPr>
          <w:rFonts w:ascii="Times New Roman" w:eastAsia="仿宋_GB2312"/>
          <w:szCs w:val="32"/>
        </w:rPr>
        <w:t>《太仓市人才公寓建设管理实施意见（试行）》已经市政府第</w:t>
      </w:r>
      <w:r w:rsidR="00E5031E" w:rsidRPr="004F2CD1">
        <w:rPr>
          <w:rFonts w:ascii="Times New Roman" w:eastAsia="仿宋_GB2312"/>
          <w:szCs w:val="32"/>
        </w:rPr>
        <w:t>60</w:t>
      </w:r>
      <w:r w:rsidR="00E5031E" w:rsidRPr="004F2CD1">
        <w:rPr>
          <w:rFonts w:ascii="Times New Roman" w:eastAsia="仿宋_GB2312"/>
          <w:szCs w:val="32"/>
        </w:rPr>
        <w:t>次常务会议讨论通过，现印发给你们，请认真贯彻落实。</w:t>
      </w:r>
    </w:p>
    <w:p w:rsidR="00747BF6" w:rsidRPr="004F2CD1" w:rsidRDefault="00747BF6">
      <w:pPr>
        <w:spacing w:line="560" w:lineRule="exact"/>
        <w:ind w:firstLine="0"/>
        <w:rPr>
          <w:rFonts w:ascii="Times New Roman" w:eastAsia="仿宋_GB2312"/>
          <w:szCs w:val="32"/>
        </w:rPr>
      </w:pPr>
    </w:p>
    <w:p w:rsidR="00747BF6" w:rsidRPr="004F2CD1" w:rsidRDefault="00747BF6">
      <w:pPr>
        <w:spacing w:line="560" w:lineRule="exact"/>
        <w:ind w:firstLine="0"/>
        <w:rPr>
          <w:rFonts w:ascii="Times New Roman" w:eastAsia="仿宋_GB2312"/>
          <w:szCs w:val="32"/>
        </w:rPr>
      </w:pPr>
    </w:p>
    <w:tbl>
      <w:tblPr>
        <w:tblStyle w:val="a7"/>
        <w:tblpPr w:leftFromText="180" w:rightFromText="180"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86"/>
        <w:gridCol w:w="3397"/>
        <w:gridCol w:w="762"/>
      </w:tblGrid>
      <w:tr w:rsidR="00747BF6" w:rsidRPr="004F2CD1">
        <w:trPr>
          <w:cantSplit/>
          <w:trHeight w:val="20"/>
        </w:trPr>
        <w:tc>
          <w:tcPr>
            <w:tcW w:w="4686" w:type="dxa"/>
            <w:vAlign w:val="center"/>
          </w:tcPr>
          <w:p w:rsidR="00747BF6" w:rsidRPr="004F2CD1" w:rsidRDefault="00747BF6">
            <w:pPr>
              <w:pStyle w:val="10"/>
              <w:tabs>
                <w:tab w:val="left" w:pos="5040"/>
              </w:tabs>
              <w:spacing w:line="560" w:lineRule="exact"/>
              <w:jc w:val="both"/>
              <w:rPr>
                <w:rFonts w:ascii="Times New Roman" w:eastAsia="仿宋_GB2312"/>
                <w:sz w:val="32"/>
                <w:szCs w:val="32"/>
              </w:rPr>
            </w:pPr>
          </w:p>
        </w:tc>
        <w:tc>
          <w:tcPr>
            <w:tcW w:w="3397" w:type="dxa"/>
            <w:vAlign w:val="center"/>
          </w:tcPr>
          <w:p w:rsidR="00747BF6" w:rsidRPr="004F2CD1" w:rsidRDefault="00E5031E">
            <w:pPr>
              <w:pStyle w:val="10"/>
              <w:tabs>
                <w:tab w:val="left" w:pos="5040"/>
              </w:tabs>
              <w:spacing w:line="560" w:lineRule="exact"/>
              <w:rPr>
                <w:rFonts w:ascii="Times New Roman" w:eastAsia="仿宋_GB2312"/>
                <w:sz w:val="32"/>
                <w:szCs w:val="32"/>
              </w:rPr>
            </w:pPr>
            <w:r w:rsidRPr="004F2CD1">
              <w:rPr>
                <w:rFonts w:ascii="Times New Roman" w:eastAsia="仿宋_GB2312"/>
                <w:sz w:val="32"/>
                <w:szCs w:val="32"/>
              </w:rPr>
              <w:t>太仓市人民政府办公室</w:t>
            </w:r>
          </w:p>
        </w:tc>
        <w:tc>
          <w:tcPr>
            <w:tcW w:w="762" w:type="dxa"/>
            <w:vAlign w:val="center"/>
          </w:tcPr>
          <w:p w:rsidR="00747BF6" w:rsidRPr="004F2CD1" w:rsidRDefault="00747BF6">
            <w:pPr>
              <w:pStyle w:val="10"/>
              <w:tabs>
                <w:tab w:val="left" w:pos="5040"/>
              </w:tabs>
              <w:spacing w:line="560" w:lineRule="exact"/>
              <w:jc w:val="both"/>
              <w:rPr>
                <w:rFonts w:ascii="Times New Roman" w:eastAsia="仿宋_GB2312"/>
                <w:sz w:val="32"/>
                <w:szCs w:val="32"/>
              </w:rPr>
            </w:pPr>
          </w:p>
        </w:tc>
      </w:tr>
      <w:tr w:rsidR="00747BF6" w:rsidRPr="004F2CD1">
        <w:trPr>
          <w:cantSplit/>
          <w:trHeight w:val="20"/>
        </w:trPr>
        <w:tc>
          <w:tcPr>
            <w:tcW w:w="4686" w:type="dxa"/>
            <w:vAlign w:val="center"/>
          </w:tcPr>
          <w:p w:rsidR="00747BF6" w:rsidRPr="004F2CD1" w:rsidRDefault="00747BF6">
            <w:pPr>
              <w:pStyle w:val="10"/>
              <w:tabs>
                <w:tab w:val="left" w:pos="5040"/>
              </w:tabs>
              <w:spacing w:line="560" w:lineRule="exact"/>
              <w:jc w:val="both"/>
              <w:rPr>
                <w:rFonts w:ascii="Times New Roman" w:eastAsia="仿宋_GB2312"/>
                <w:sz w:val="32"/>
                <w:szCs w:val="32"/>
              </w:rPr>
            </w:pPr>
          </w:p>
        </w:tc>
        <w:tc>
          <w:tcPr>
            <w:tcW w:w="3397" w:type="dxa"/>
            <w:vAlign w:val="center"/>
          </w:tcPr>
          <w:p w:rsidR="00747BF6" w:rsidRPr="004F2CD1" w:rsidRDefault="00E5031E" w:rsidP="004F2CD1">
            <w:pPr>
              <w:pStyle w:val="10"/>
              <w:tabs>
                <w:tab w:val="left" w:pos="5040"/>
              </w:tabs>
              <w:spacing w:line="560" w:lineRule="exact"/>
              <w:rPr>
                <w:rFonts w:ascii="Times New Roman" w:eastAsia="仿宋_GB2312"/>
                <w:sz w:val="32"/>
                <w:szCs w:val="32"/>
              </w:rPr>
            </w:pPr>
            <w:r w:rsidRPr="004F2CD1">
              <w:rPr>
                <w:rFonts w:ascii="Times New Roman" w:eastAsia="仿宋_GB2312"/>
                <w:sz w:val="32"/>
                <w:szCs w:val="32"/>
              </w:rPr>
              <w:t>2021</w:t>
            </w:r>
            <w:r w:rsidRPr="004F2CD1">
              <w:rPr>
                <w:rFonts w:ascii="Times New Roman" w:eastAsia="仿宋_GB2312"/>
                <w:sz w:val="32"/>
                <w:szCs w:val="32"/>
              </w:rPr>
              <w:t>年</w:t>
            </w:r>
            <w:r w:rsidRPr="004F2CD1">
              <w:rPr>
                <w:rFonts w:ascii="Times New Roman" w:eastAsia="仿宋_GB2312"/>
                <w:sz w:val="32"/>
                <w:szCs w:val="32"/>
              </w:rPr>
              <w:t>11</w:t>
            </w:r>
            <w:r w:rsidRPr="004F2CD1">
              <w:rPr>
                <w:rFonts w:ascii="Times New Roman" w:eastAsia="仿宋_GB2312"/>
                <w:sz w:val="32"/>
                <w:szCs w:val="32"/>
              </w:rPr>
              <w:t>月</w:t>
            </w:r>
            <w:r w:rsidR="004F2CD1" w:rsidRPr="004F2CD1">
              <w:rPr>
                <w:rFonts w:ascii="Times New Roman" w:eastAsia="仿宋_GB2312"/>
                <w:sz w:val="32"/>
                <w:szCs w:val="32"/>
              </w:rPr>
              <w:t>2</w:t>
            </w:r>
            <w:r w:rsidRPr="004F2CD1">
              <w:rPr>
                <w:rFonts w:ascii="Times New Roman" w:eastAsia="仿宋_GB2312"/>
                <w:sz w:val="32"/>
                <w:szCs w:val="32"/>
              </w:rPr>
              <w:t>日</w:t>
            </w:r>
          </w:p>
        </w:tc>
        <w:tc>
          <w:tcPr>
            <w:tcW w:w="762" w:type="dxa"/>
            <w:vAlign w:val="center"/>
          </w:tcPr>
          <w:p w:rsidR="00747BF6" w:rsidRPr="004F2CD1" w:rsidRDefault="00747BF6">
            <w:pPr>
              <w:pStyle w:val="10"/>
              <w:tabs>
                <w:tab w:val="left" w:pos="5040"/>
              </w:tabs>
              <w:spacing w:line="560" w:lineRule="exact"/>
              <w:jc w:val="both"/>
              <w:rPr>
                <w:rFonts w:ascii="Times New Roman" w:eastAsia="仿宋_GB2312"/>
                <w:sz w:val="32"/>
                <w:szCs w:val="32"/>
              </w:rPr>
            </w:pPr>
          </w:p>
        </w:tc>
      </w:tr>
    </w:tbl>
    <w:p w:rsidR="00747BF6" w:rsidRPr="004F2CD1" w:rsidRDefault="00E5031E">
      <w:pPr>
        <w:spacing w:line="560" w:lineRule="exact"/>
        <w:ind w:firstLine="0"/>
        <w:rPr>
          <w:rFonts w:ascii="Times New Roman" w:eastAsia="仿宋_GB2312"/>
          <w:szCs w:val="32"/>
        </w:rPr>
      </w:pPr>
      <w:r w:rsidRPr="004F2CD1">
        <w:rPr>
          <w:rFonts w:ascii="Times New Roman" w:eastAsia="仿宋_GB2312"/>
          <w:szCs w:val="32"/>
        </w:rPr>
        <w:t xml:space="preserve">    </w:t>
      </w:r>
      <w:r w:rsidRPr="004F2CD1">
        <w:rPr>
          <w:rFonts w:ascii="Times New Roman" w:eastAsia="仿宋_GB2312"/>
          <w:szCs w:val="32"/>
        </w:rPr>
        <w:t>（此件公开发布）</w:t>
      </w:r>
    </w:p>
    <w:p w:rsidR="00747BF6" w:rsidRPr="004F2CD1" w:rsidRDefault="00747BF6">
      <w:pPr>
        <w:spacing w:line="560" w:lineRule="exact"/>
        <w:ind w:firstLine="0"/>
        <w:rPr>
          <w:rFonts w:ascii="Times New Roman" w:eastAsia="仿宋_GB2312"/>
          <w:szCs w:val="32"/>
        </w:rPr>
      </w:pPr>
    </w:p>
    <w:p w:rsidR="00747BF6" w:rsidRPr="004F2CD1" w:rsidRDefault="00E5031E">
      <w:pPr>
        <w:spacing w:line="560" w:lineRule="exact"/>
        <w:ind w:firstLine="0"/>
        <w:jc w:val="center"/>
        <w:rPr>
          <w:rFonts w:ascii="Times New Roman" w:eastAsia="方正小标宋简体"/>
          <w:sz w:val="44"/>
          <w:szCs w:val="44"/>
        </w:rPr>
      </w:pPr>
      <w:r w:rsidRPr="004F2CD1">
        <w:rPr>
          <w:rFonts w:ascii="Times New Roman" w:eastAsia="方正小标宋简体"/>
          <w:sz w:val="44"/>
          <w:szCs w:val="44"/>
        </w:rPr>
        <w:t>太仓市人才公寓建设管理实施意见（试行）</w:t>
      </w:r>
    </w:p>
    <w:p w:rsidR="00747BF6" w:rsidRPr="004F2CD1" w:rsidRDefault="00747BF6">
      <w:pPr>
        <w:spacing w:line="560" w:lineRule="exact"/>
        <w:ind w:firstLine="0"/>
        <w:rPr>
          <w:rFonts w:ascii="Times New Roman" w:eastAsia="仿宋_GB2312"/>
          <w:szCs w:val="32"/>
        </w:rPr>
      </w:pP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为深入实施人才引领发展战略，发挥人才公寓在吸引聚集人才方面的保障作用，促进我市产业转型升级，吸引鼓励优秀人才来太创新创业，根据《关于加强苏州市人才租赁住房保障工作的若干意见》，就太仓市人才公寓（以下简称</w:t>
      </w:r>
      <w:r w:rsidRPr="004F2CD1">
        <w:rPr>
          <w:rFonts w:ascii="Times New Roman" w:eastAsia="仿宋_GB2312"/>
          <w:szCs w:val="32"/>
        </w:rPr>
        <w:t>“</w:t>
      </w:r>
      <w:r w:rsidRPr="004F2CD1">
        <w:rPr>
          <w:rFonts w:ascii="Times New Roman" w:eastAsia="仿宋_GB2312"/>
          <w:szCs w:val="32"/>
        </w:rPr>
        <w:t>人才公寓</w:t>
      </w:r>
      <w:r w:rsidRPr="004F2CD1">
        <w:rPr>
          <w:rFonts w:ascii="Times New Roman" w:eastAsia="仿宋_GB2312"/>
          <w:szCs w:val="32"/>
        </w:rPr>
        <w:t>”</w:t>
      </w:r>
      <w:r w:rsidRPr="004F2CD1">
        <w:rPr>
          <w:rFonts w:ascii="Times New Roman" w:eastAsia="仿宋_GB2312"/>
          <w:szCs w:val="32"/>
        </w:rPr>
        <w:t>）建设管理，制定如下实施意见：</w:t>
      </w:r>
    </w:p>
    <w:p w:rsidR="00747BF6" w:rsidRPr="004F2CD1" w:rsidRDefault="00E5031E" w:rsidP="00747BF6">
      <w:pPr>
        <w:spacing w:line="560" w:lineRule="exact"/>
        <w:ind w:firstLineChars="200" w:firstLine="630"/>
        <w:rPr>
          <w:rFonts w:ascii="Times New Roman" w:eastAsia="黑体"/>
          <w:szCs w:val="32"/>
        </w:rPr>
      </w:pPr>
      <w:r w:rsidRPr="004F2CD1">
        <w:rPr>
          <w:rFonts w:ascii="Times New Roman" w:eastAsia="黑体"/>
          <w:szCs w:val="32"/>
        </w:rPr>
        <w:t>一、指导思想</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紧紧围绕我市人才公寓建设管理工作部署，按照</w:t>
      </w:r>
      <w:r w:rsidRPr="004F2CD1">
        <w:rPr>
          <w:rFonts w:ascii="Times New Roman" w:eastAsia="仿宋_GB2312"/>
          <w:szCs w:val="32"/>
        </w:rPr>
        <w:t>“</w:t>
      </w:r>
      <w:r w:rsidRPr="004F2CD1">
        <w:rPr>
          <w:rFonts w:ascii="Times New Roman" w:eastAsia="仿宋_GB2312"/>
          <w:szCs w:val="32"/>
        </w:rPr>
        <w:t>规划引领、供需匹配、严格监管</w:t>
      </w:r>
      <w:r w:rsidRPr="004F2CD1">
        <w:rPr>
          <w:rFonts w:ascii="Times New Roman" w:eastAsia="仿宋_GB2312"/>
          <w:szCs w:val="32"/>
        </w:rPr>
        <w:t>”</w:t>
      </w:r>
      <w:r w:rsidRPr="004F2CD1">
        <w:rPr>
          <w:rFonts w:ascii="Times New Roman" w:eastAsia="仿宋_GB2312"/>
          <w:szCs w:val="32"/>
        </w:rPr>
        <w:t>的原则，多种方式、多种渠道建设人才公寓，充分盘活现有住房资源，努力完善工业区内住房配套功能，改善人才居住环境，全面建立符合我市实际的人才住房保障工作体系。</w:t>
      </w:r>
    </w:p>
    <w:p w:rsidR="00747BF6" w:rsidRPr="004F2CD1" w:rsidRDefault="00E5031E" w:rsidP="00747BF6">
      <w:pPr>
        <w:spacing w:line="560" w:lineRule="exact"/>
        <w:ind w:firstLineChars="200" w:firstLine="630"/>
        <w:rPr>
          <w:rFonts w:ascii="Times New Roman" w:eastAsia="黑体"/>
          <w:szCs w:val="32"/>
        </w:rPr>
      </w:pPr>
      <w:r w:rsidRPr="004F2CD1">
        <w:rPr>
          <w:rFonts w:ascii="Times New Roman" w:eastAsia="黑体"/>
          <w:szCs w:val="32"/>
        </w:rPr>
        <w:t>二、基本原则</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楷体_GB2312"/>
          <w:szCs w:val="32"/>
        </w:rPr>
        <w:t>（一）规划引领。</w:t>
      </w:r>
      <w:r w:rsidRPr="004F2CD1">
        <w:rPr>
          <w:rFonts w:ascii="Times New Roman" w:eastAsia="仿宋_GB2312"/>
          <w:szCs w:val="32"/>
        </w:rPr>
        <w:t>结合功能、区位、产业基础、发展优势等因素，合理规划建设人才公寓。注重完善工业园区功能区块划分、产业空间布局、生产生活服务配套设施，保障企业职工生活需求，促进企业高质量发展。</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楷体_GB2312"/>
          <w:szCs w:val="32"/>
        </w:rPr>
        <w:t>（二）供需匹配。</w:t>
      </w:r>
      <w:r w:rsidRPr="004F2CD1">
        <w:rPr>
          <w:rFonts w:ascii="Times New Roman" w:eastAsia="仿宋_GB2312"/>
          <w:szCs w:val="32"/>
        </w:rPr>
        <w:t>由企业自主申请，按审批要求建设人才公寓。政府制定建设要求，控制建设规模，分类审批引导建设。属地政府在工业区规划中预留人才公寓及公共配套设施建设空间。</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楷体_GB2312"/>
          <w:szCs w:val="32"/>
        </w:rPr>
        <w:lastRenderedPageBreak/>
        <w:t>（三）严格监管。</w:t>
      </w:r>
      <w:r w:rsidRPr="004F2CD1">
        <w:rPr>
          <w:rFonts w:ascii="Times New Roman" w:eastAsia="仿宋_GB2312"/>
          <w:szCs w:val="32"/>
        </w:rPr>
        <w:t>成立太仓市人才公寓建设管理工作领导小组（以下简称</w:t>
      </w:r>
      <w:r w:rsidRPr="004F2CD1">
        <w:rPr>
          <w:rFonts w:ascii="Times New Roman" w:eastAsia="仿宋_GB2312"/>
          <w:szCs w:val="32"/>
        </w:rPr>
        <w:t>“</w:t>
      </w:r>
      <w:r w:rsidRPr="004F2CD1">
        <w:rPr>
          <w:rFonts w:ascii="Times New Roman" w:eastAsia="仿宋_GB2312"/>
          <w:szCs w:val="32"/>
        </w:rPr>
        <w:t>领导小组</w:t>
      </w:r>
      <w:r w:rsidRPr="004F2CD1">
        <w:rPr>
          <w:rFonts w:ascii="Times New Roman" w:eastAsia="仿宋_GB2312"/>
          <w:szCs w:val="32"/>
        </w:rPr>
        <w:t>”</w:t>
      </w:r>
      <w:r w:rsidRPr="004F2CD1">
        <w:rPr>
          <w:rFonts w:ascii="Times New Roman" w:eastAsia="仿宋_GB2312"/>
          <w:szCs w:val="32"/>
        </w:rPr>
        <w:t>），负责拟定人才公寓建设管理相关政策，对各区镇开展督导、检查、考核等工作。领导小组办公室设在市资源规划局，负责领导小组日常工作。领导小组各成员单位根据职责分工，按照简便高效原则，负责人才公寓建设管理的组织实施、政策宣传和业务指导。</w:t>
      </w:r>
    </w:p>
    <w:p w:rsidR="00747BF6" w:rsidRPr="004F2CD1" w:rsidRDefault="00E5031E" w:rsidP="00747BF6">
      <w:pPr>
        <w:spacing w:line="560" w:lineRule="exact"/>
        <w:ind w:firstLineChars="200" w:firstLine="630"/>
        <w:rPr>
          <w:rFonts w:ascii="Times New Roman" w:eastAsia="黑体"/>
          <w:szCs w:val="32"/>
        </w:rPr>
      </w:pPr>
      <w:r w:rsidRPr="004F2CD1">
        <w:rPr>
          <w:rFonts w:ascii="Times New Roman" w:eastAsia="黑体"/>
          <w:szCs w:val="32"/>
        </w:rPr>
        <w:t>三、分类建设</w:t>
      </w:r>
    </w:p>
    <w:p w:rsidR="00747BF6" w:rsidRPr="004F2CD1" w:rsidRDefault="00E5031E" w:rsidP="00747BF6">
      <w:pPr>
        <w:spacing w:line="560" w:lineRule="exact"/>
        <w:ind w:firstLineChars="200" w:firstLine="630"/>
        <w:rPr>
          <w:rFonts w:ascii="Times New Roman" w:eastAsia="楷体_GB2312"/>
          <w:szCs w:val="32"/>
        </w:rPr>
      </w:pPr>
      <w:r w:rsidRPr="004F2CD1">
        <w:rPr>
          <w:rFonts w:ascii="Times New Roman" w:eastAsia="楷体_GB2312"/>
          <w:szCs w:val="32"/>
        </w:rPr>
        <w:t>（一）新建型人才公寓</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指企业内部有可建设用地建设人才公寓。</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1. </w:t>
      </w:r>
      <w:r w:rsidRPr="004F2CD1">
        <w:rPr>
          <w:rFonts w:ascii="Times New Roman" w:eastAsia="仿宋_GB2312"/>
          <w:szCs w:val="32"/>
        </w:rPr>
        <w:t>申报条件：</w:t>
      </w:r>
      <w:bookmarkStart w:id="1" w:name="_Hlk76629523"/>
      <w:r w:rsidRPr="004F2CD1">
        <w:rPr>
          <w:rFonts w:ascii="Times New Roman" w:eastAsia="仿宋_GB2312"/>
          <w:szCs w:val="32"/>
        </w:rPr>
        <w:t>企业将建设意向报属地政府；属地政府根据其产业类型、住宿需求等综合因素</w:t>
      </w:r>
      <w:bookmarkEnd w:id="1"/>
      <w:r w:rsidRPr="004F2CD1">
        <w:rPr>
          <w:rFonts w:ascii="Times New Roman" w:eastAsia="仿宋_GB2312"/>
          <w:szCs w:val="32"/>
        </w:rPr>
        <w:t>进行初审，并研究决定同意后，向领导小组申请组织部门会商。</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属地政府应统筹考虑该区域产业发展要求、安全生产条件、功能区域特点及周边生活配套等情况，严格控制企业内部新建人才公寓的项目数量，合理规划建设区域内人才公寓。</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2. </w:t>
      </w:r>
      <w:r w:rsidRPr="004F2CD1">
        <w:rPr>
          <w:rFonts w:ascii="Times New Roman" w:eastAsia="仿宋_GB2312"/>
          <w:szCs w:val="32"/>
        </w:rPr>
        <w:t>建设要求：新建人才公寓原则上以多层建筑（不超六层）为主，建筑应该与生产区域实现隔离，满足消防、环保、安全生产和生活要求。不得在化工园区、综合保税区等其他有特殊要求的区域建设人才公寓项目。严禁建造宾馆、招待所等非生产性配套设施。</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3. </w:t>
      </w:r>
      <w:r w:rsidRPr="004F2CD1">
        <w:rPr>
          <w:rFonts w:ascii="Times New Roman" w:eastAsia="仿宋_GB2312"/>
          <w:szCs w:val="32"/>
        </w:rPr>
        <w:t>规模控制：以基本解决人才住宿需求为依据，在确保安全的前提下，可将工业项目配套建设行政办公及生活服务设施的</w:t>
      </w:r>
      <w:r w:rsidRPr="004F2CD1">
        <w:rPr>
          <w:rFonts w:ascii="Times New Roman" w:eastAsia="仿宋_GB2312"/>
          <w:szCs w:val="32"/>
        </w:rPr>
        <w:lastRenderedPageBreak/>
        <w:t>用地面积占项目总用地面积的比例上限由</w:t>
      </w:r>
      <w:r w:rsidRPr="004F2CD1">
        <w:rPr>
          <w:rFonts w:ascii="Times New Roman" w:eastAsia="仿宋_GB2312"/>
          <w:szCs w:val="32"/>
        </w:rPr>
        <w:t>7%</w:t>
      </w:r>
      <w:r w:rsidRPr="004F2CD1">
        <w:rPr>
          <w:rFonts w:ascii="Times New Roman" w:eastAsia="仿宋_GB2312"/>
          <w:szCs w:val="32"/>
        </w:rPr>
        <w:t>提高到</w:t>
      </w:r>
      <w:r w:rsidRPr="004F2CD1">
        <w:rPr>
          <w:rFonts w:ascii="Times New Roman" w:eastAsia="仿宋_GB2312"/>
          <w:szCs w:val="32"/>
        </w:rPr>
        <w:t>15%</w:t>
      </w:r>
      <w:r w:rsidRPr="004F2CD1">
        <w:rPr>
          <w:rFonts w:ascii="Times New Roman" w:eastAsia="仿宋_GB2312"/>
          <w:szCs w:val="32"/>
        </w:rPr>
        <w:t>，建筑面积占比上限相应提高，提高部分主要用于建设人才公寓。具体情况由属地政府牵头，会同资规、住建、行政审批等部门逐个项目会审，报领导小组审定。</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4. </w:t>
      </w:r>
      <w:r w:rsidRPr="004F2CD1">
        <w:rPr>
          <w:rFonts w:ascii="Times New Roman" w:eastAsia="仿宋_GB2312"/>
          <w:szCs w:val="32"/>
        </w:rPr>
        <w:t>报建流程：按照太仓市投资建设类项目报建流程。</w:t>
      </w:r>
    </w:p>
    <w:p w:rsidR="00747BF6" w:rsidRPr="004F2CD1" w:rsidRDefault="00E5031E" w:rsidP="00747BF6">
      <w:pPr>
        <w:spacing w:line="560" w:lineRule="exact"/>
        <w:ind w:firstLineChars="200" w:firstLine="630"/>
        <w:rPr>
          <w:rFonts w:ascii="Times New Roman" w:eastAsia="楷体_GB2312"/>
          <w:szCs w:val="32"/>
        </w:rPr>
      </w:pPr>
      <w:r w:rsidRPr="004F2CD1">
        <w:rPr>
          <w:rFonts w:ascii="Times New Roman" w:eastAsia="楷体_GB2312"/>
          <w:szCs w:val="32"/>
        </w:rPr>
        <w:t>（二）改建型人才公寓</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指企业将已建成的厂房、办公用房等建筑通过改造用作人才公寓功能。</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1. </w:t>
      </w:r>
      <w:r w:rsidRPr="004F2CD1">
        <w:rPr>
          <w:rFonts w:ascii="Times New Roman" w:eastAsia="仿宋_GB2312"/>
          <w:szCs w:val="32"/>
        </w:rPr>
        <w:t>申报条件：企业将建设意向报属地政府，属地政府根据其产业类型、住宿需求等综合因素进行初审，并研究决定同意后，向领导小组申请组织部门会商。</w:t>
      </w:r>
      <w:r w:rsidRPr="004F2CD1">
        <w:rPr>
          <w:rFonts w:ascii="Times New Roman" w:eastAsia="仿宋_GB2312"/>
          <w:szCs w:val="32"/>
        </w:rPr>
        <w:t xml:space="preserve"> </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属地政府应统筹考虑该区域产业发展要求、安全生产条件、功能区域特点及周边生活配套等情况，严格控制企业内部改建人才公寓的项目数量，合理规划建设区域内人才公寓。</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2. </w:t>
      </w:r>
      <w:r w:rsidRPr="004F2CD1">
        <w:rPr>
          <w:rFonts w:ascii="Times New Roman" w:eastAsia="仿宋_GB2312"/>
          <w:szCs w:val="32"/>
        </w:rPr>
        <w:t>改建要求：存量建筑应整栋改建为人才公寓，且建筑应与生产区域实现隔离，不得在化工园区、综合保税区等其他有特殊要求的区域进行改建；改建建筑必须已取得房产证或不动产登记证，属于合法建筑；改建建筑的施工图原则上由原设计单位设计，满足人才公寓安全和消防设计标准，改建工程应由有资质的施工企业实施。</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3. </w:t>
      </w:r>
      <w:r w:rsidRPr="004F2CD1">
        <w:rPr>
          <w:rFonts w:ascii="Times New Roman" w:eastAsia="仿宋_GB2312"/>
          <w:szCs w:val="32"/>
        </w:rPr>
        <w:t>规模控制：以基本解决人才住宿需求为依据，在确保安全的前提下，可将工业项目配套建设行政办公及生活服务设施的用地面积占项目总用地面积的比例上限由</w:t>
      </w:r>
      <w:r w:rsidRPr="004F2CD1">
        <w:rPr>
          <w:rFonts w:ascii="Times New Roman" w:eastAsia="仿宋_GB2312"/>
          <w:szCs w:val="32"/>
        </w:rPr>
        <w:t>7%</w:t>
      </w:r>
      <w:r w:rsidRPr="004F2CD1">
        <w:rPr>
          <w:rFonts w:ascii="Times New Roman" w:eastAsia="仿宋_GB2312"/>
          <w:szCs w:val="32"/>
        </w:rPr>
        <w:t>提高到</w:t>
      </w:r>
      <w:r w:rsidRPr="004F2CD1">
        <w:rPr>
          <w:rFonts w:ascii="Times New Roman" w:eastAsia="仿宋_GB2312"/>
          <w:szCs w:val="32"/>
        </w:rPr>
        <w:t>15%</w:t>
      </w:r>
      <w:r w:rsidRPr="004F2CD1">
        <w:rPr>
          <w:rFonts w:ascii="Times New Roman" w:eastAsia="仿宋_GB2312"/>
          <w:szCs w:val="32"/>
        </w:rPr>
        <w:t>。鼓励将产业园区中各工业项目的配套比例对应的用地面积或建筑面积集中起来，统一建设。具体情况由属地政府牵头，组织资规、住建、行政审批等部门逐个项目会审，报领导小组审定。</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4. </w:t>
      </w:r>
      <w:r w:rsidRPr="004F2CD1">
        <w:rPr>
          <w:rFonts w:ascii="Times New Roman" w:eastAsia="仿宋_GB2312"/>
          <w:szCs w:val="32"/>
        </w:rPr>
        <w:t>报建流程：企业提出改建申请，经属地政府审核同意后报行政审批局备案。行政审批局负责核发建设工程规划许可证；住建局、行政审批局负责建筑施工图审查、核发建设工程施工许可证。涉及能评、环评备案等由相关职能部门同步开展，能简则简。</w:t>
      </w:r>
    </w:p>
    <w:p w:rsidR="00747BF6" w:rsidRPr="004F2CD1" w:rsidRDefault="00E5031E" w:rsidP="00747BF6">
      <w:pPr>
        <w:spacing w:line="560" w:lineRule="exact"/>
        <w:ind w:firstLineChars="200" w:firstLine="630"/>
        <w:rPr>
          <w:rFonts w:ascii="Times New Roman" w:eastAsia="楷体_GB2312"/>
          <w:szCs w:val="32"/>
        </w:rPr>
      </w:pPr>
      <w:r w:rsidRPr="004F2CD1">
        <w:rPr>
          <w:rFonts w:ascii="Times New Roman" w:eastAsia="楷体_GB2312"/>
          <w:szCs w:val="32"/>
        </w:rPr>
        <w:t>（三）恢复型人才公寓</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指企业内部原人才公寓曾改作他用而拟恢复的。</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1. </w:t>
      </w:r>
      <w:r w:rsidRPr="004F2CD1">
        <w:rPr>
          <w:rFonts w:ascii="Times New Roman" w:eastAsia="仿宋_GB2312"/>
          <w:szCs w:val="32"/>
        </w:rPr>
        <w:t>申报条件：企业将恢复用途意向报属地政府，并提供房产证或不动产登记证。属地政府进行审核，研究决定是否同意恢复。</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2. </w:t>
      </w:r>
      <w:r w:rsidRPr="004F2CD1">
        <w:rPr>
          <w:rFonts w:ascii="Times New Roman" w:eastAsia="仿宋_GB2312"/>
          <w:szCs w:val="32"/>
        </w:rPr>
        <w:t>鉴定核查：企业委托有资质的检测鉴定机构按标准对房屋安全性进行鉴定；同时，报消防部门核查是否满足公寓消防规范要求。鉴定不通过或消防安全不达标的，须按要求整改到位后再次申报核查。</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3. </w:t>
      </w:r>
      <w:r w:rsidRPr="004F2CD1">
        <w:rPr>
          <w:rFonts w:ascii="Times New Roman" w:eastAsia="仿宋_GB2312"/>
          <w:szCs w:val="32"/>
        </w:rPr>
        <w:t>施工要求：根据房屋安全性鉴定报告及消防审核意见，企业委托有资质的单位编制恢复性施工方案，并组织工程实施。恢复性施工完毕后，企业再次委托进行房屋安全鉴定并出具鉴定报告，确保项目符合安全使用要求。</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 xml:space="preserve">4. </w:t>
      </w:r>
      <w:r w:rsidRPr="004F2CD1">
        <w:rPr>
          <w:rFonts w:ascii="Times New Roman" w:eastAsia="仿宋_GB2312"/>
          <w:szCs w:val="32"/>
        </w:rPr>
        <w:t>验收审核：企业提出验收申请后，属地政府组织市相关部门验收审核。</w:t>
      </w:r>
    </w:p>
    <w:p w:rsidR="00747BF6" w:rsidRPr="004F2CD1" w:rsidRDefault="00E5031E" w:rsidP="00747BF6">
      <w:pPr>
        <w:spacing w:line="560" w:lineRule="exact"/>
        <w:ind w:firstLineChars="200" w:firstLine="630"/>
        <w:rPr>
          <w:rFonts w:ascii="Times New Roman" w:eastAsia="黑体"/>
          <w:szCs w:val="32"/>
        </w:rPr>
      </w:pPr>
      <w:r w:rsidRPr="004F2CD1">
        <w:rPr>
          <w:rFonts w:ascii="Times New Roman" w:eastAsia="黑体"/>
          <w:szCs w:val="32"/>
        </w:rPr>
        <w:t>四、附则</w:t>
      </w:r>
    </w:p>
    <w:p w:rsidR="00747BF6" w:rsidRPr="004F2CD1" w:rsidRDefault="00E5031E" w:rsidP="00747BF6">
      <w:pPr>
        <w:spacing w:line="560" w:lineRule="exact"/>
        <w:ind w:firstLineChars="200" w:firstLine="630"/>
        <w:rPr>
          <w:rFonts w:ascii="Times New Roman" w:eastAsia="仿宋_GB2312"/>
          <w:szCs w:val="32"/>
        </w:rPr>
      </w:pPr>
      <w:r w:rsidRPr="004F2CD1">
        <w:rPr>
          <w:rFonts w:ascii="Times New Roman" w:eastAsia="仿宋_GB2312"/>
          <w:szCs w:val="32"/>
        </w:rPr>
        <w:t>本实施意见由太仓市人才公寓建设管理工作领导小组负责解释。本实施意见自发布之日起试行</w:t>
      </w:r>
      <w:r w:rsidRPr="004F2CD1">
        <w:rPr>
          <w:rFonts w:ascii="Times New Roman" w:eastAsia="仿宋_GB2312"/>
          <w:szCs w:val="32"/>
        </w:rPr>
        <w:t>3</w:t>
      </w:r>
      <w:r w:rsidRPr="004F2CD1">
        <w:rPr>
          <w:rFonts w:ascii="Times New Roman" w:eastAsia="仿宋_GB2312"/>
          <w:szCs w:val="32"/>
        </w:rPr>
        <w:t>年。企业集宿楼项目建设参照本实施意见执行。</w:t>
      </w:r>
    </w:p>
    <w:p w:rsidR="00747BF6" w:rsidRPr="004F2CD1" w:rsidRDefault="00747BF6" w:rsidP="00747BF6">
      <w:pPr>
        <w:spacing w:line="560" w:lineRule="exact"/>
        <w:ind w:firstLineChars="200" w:firstLine="63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p w:rsidR="00747BF6" w:rsidRPr="004F2CD1" w:rsidRDefault="00747BF6">
      <w:pPr>
        <w:spacing w:line="560" w:lineRule="exact"/>
        <w:ind w:firstLine="0"/>
        <w:jc w:val="left"/>
        <w:rPr>
          <w:rFonts w:ascii="Times New Roman" w:eastAsia="仿宋_GB2312"/>
          <w:szCs w:val="32"/>
        </w:rPr>
      </w:pPr>
    </w:p>
    <w:tbl>
      <w:tblPr>
        <w:tblStyle w:val="a7"/>
        <w:tblpPr w:leftFromText="180" w:rightFromText="180"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7"/>
        <w:gridCol w:w="2268"/>
        <w:gridCol w:w="5245"/>
        <w:gridCol w:w="195"/>
      </w:tblGrid>
      <w:tr w:rsidR="00747BF6" w:rsidRPr="004F2CD1">
        <w:trPr>
          <w:trHeight w:val="20"/>
        </w:trPr>
        <w:tc>
          <w:tcPr>
            <w:tcW w:w="1137" w:type="dxa"/>
            <w:tcBorders>
              <w:top w:val="single" w:sz="12" w:space="0" w:color="auto"/>
              <w:bottom w:val="single" w:sz="6" w:space="0" w:color="auto"/>
            </w:tcBorders>
          </w:tcPr>
          <w:p w:rsidR="00747BF6" w:rsidRPr="004F2CD1" w:rsidRDefault="00E5031E">
            <w:pPr>
              <w:pStyle w:val="10"/>
              <w:tabs>
                <w:tab w:val="left" w:pos="5040"/>
              </w:tabs>
              <w:spacing w:line="360" w:lineRule="exact"/>
              <w:jc w:val="both"/>
              <w:rPr>
                <w:rFonts w:ascii="Times New Roman" w:eastAsia="仿宋_GB2312"/>
                <w:sz w:val="28"/>
              </w:rPr>
            </w:pPr>
            <w:r w:rsidRPr="004F2CD1">
              <w:rPr>
                <w:rFonts w:ascii="Times New Roman" w:eastAsia="仿宋_GB2312"/>
                <w:sz w:val="28"/>
              </w:rPr>
              <w:t xml:space="preserve">　抄送：</w:t>
            </w:r>
          </w:p>
        </w:tc>
        <w:tc>
          <w:tcPr>
            <w:tcW w:w="7708" w:type="dxa"/>
            <w:gridSpan w:val="3"/>
            <w:tcBorders>
              <w:top w:val="single" w:sz="12" w:space="0" w:color="auto"/>
              <w:bottom w:val="single" w:sz="6" w:space="0" w:color="auto"/>
            </w:tcBorders>
            <w:vAlign w:val="center"/>
          </w:tcPr>
          <w:p w:rsidR="00747BF6" w:rsidRPr="004F2CD1" w:rsidRDefault="00E5031E">
            <w:pPr>
              <w:pStyle w:val="10"/>
              <w:tabs>
                <w:tab w:val="left" w:pos="5040"/>
              </w:tabs>
              <w:spacing w:line="360" w:lineRule="exact"/>
              <w:jc w:val="left"/>
              <w:rPr>
                <w:rFonts w:ascii="Times New Roman" w:eastAsia="仿宋_GB2312"/>
                <w:spacing w:val="-6"/>
                <w:sz w:val="28"/>
                <w:szCs w:val="28"/>
              </w:rPr>
            </w:pPr>
            <w:r w:rsidRPr="004F2CD1">
              <w:rPr>
                <w:rFonts w:ascii="Times New Roman" w:eastAsia="仿宋_GB2312"/>
                <w:spacing w:val="-6"/>
                <w:sz w:val="28"/>
                <w:szCs w:val="28"/>
              </w:rPr>
              <w:t>市委各部委办局，市人大常委会办公室，市政协办公室，市监委、</w:t>
            </w:r>
          </w:p>
          <w:p w:rsidR="00747BF6" w:rsidRPr="004F2CD1" w:rsidRDefault="00E5031E">
            <w:pPr>
              <w:pStyle w:val="10"/>
              <w:tabs>
                <w:tab w:val="left" w:pos="5040"/>
              </w:tabs>
              <w:spacing w:line="360" w:lineRule="exact"/>
              <w:jc w:val="left"/>
              <w:rPr>
                <w:rFonts w:ascii="Times New Roman" w:eastAsia="仿宋_GB2312"/>
                <w:sz w:val="28"/>
              </w:rPr>
            </w:pPr>
            <w:r w:rsidRPr="004F2CD1">
              <w:rPr>
                <w:rFonts w:ascii="Times New Roman" w:eastAsia="仿宋_GB2312"/>
                <w:spacing w:val="-6"/>
                <w:sz w:val="28"/>
                <w:szCs w:val="28"/>
              </w:rPr>
              <w:t>市法院、检察院，市人武部，市各人民团体。</w:t>
            </w:r>
          </w:p>
        </w:tc>
      </w:tr>
      <w:tr w:rsidR="00747BF6" w:rsidRPr="004F2CD1">
        <w:trPr>
          <w:trHeight w:val="20"/>
        </w:trPr>
        <w:tc>
          <w:tcPr>
            <w:tcW w:w="3405" w:type="dxa"/>
            <w:gridSpan w:val="2"/>
            <w:tcBorders>
              <w:top w:val="single" w:sz="6" w:space="0" w:color="auto"/>
              <w:bottom w:val="single" w:sz="12" w:space="0" w:color="auto"/>
            </w:tcBorders>
            <w:vAlign w:val="center"/>
          </w:tcPr>
          <w:p w:rsidR="00747BF6" w:rsidRPr="004F2CD1" w:rsidRDefault="00E5031E">
            <w:pPr>
              <w:pStyle w:val="10"/>
              <w:tabs>
                <w:tab w:val="left" w:pos="5040"/>
              </w:tabs>
              <w:spacing w:line="360" w:lineRule="exact"/>
              <w:jc w:val="left"/>
              <w:rPr>
                <w:rFonts w:ascii="Times New Roman" w:eastAsia="仿宋_GB2312"/>
                <w:sz w:val="28"/>
              </w:rPr>
            </w:pPr>
            <w:r w:rsidRPr="004F2CD1">
              <w:rPr>
                <w:rFonts w:ascii="Times New Roman" w:eastAsia="仿宋_GB2312"/>
                <w:sz w:val="28"/>
              </w:rPr>
              <w:t xml:space="preserve">　太仓市人民政府办公室</w:t>
            </w:r>
          </w:p>
        </w:tc>
        <w:tc>
          <w:tcPr>
            <w:tcW w:w="5245" w:type="dxa"/>
            <w:tcBorders>
              <w:top w:val="single" w:sz="6" w:space="0" w:color="auto"/>
              <w:bottom w:val="single" w:sz="12" w:space="0" w:color="auto"/>
            </w:tcBorders>
            <w:vAlign w:val="center"/>
          </w:tcPr>
          <w:p w:rsidR="00747BF6" w:rsidRPr="004F2CD1" w:rsidRDefault="00E5031E" w:rsidP="004F2CD1">
            <w:pPr>
              <w:pStyle w:val="10"/>
              <w:tabs>
                <w:tab w:val="left" w:pos="5040"/>
              </w:tabs>
              <w:spacing w:line="360" w:lineRule="exact"/>
              <w:jc w:val="right"/>
              <w:rPr>
                <w:rFonts w:ascii="Times New Roman" w:eastAsia="仿宋_GB2312"/>
                <w:sz w:val="28"/>
              </w:rPr>
            </w:pPr>
            <w:r w:rsidRPr="004F2CD1">
              <w:rPr>
                <w:rFonts w:ascii="Times New Roman" w:eastAsia="仿宋_GB2312"/>
                <w:sz w:val="28"/>
              </w:rPr>
              <w:t>2021</w:t>
            </w:r>
            <w:r w:rsidRPr="004F2CD1">
              <w:rPr>
                <w:rFonts w:ascii="Times New Roman" w:eastAsia="仿宋_GB2312"/>
                <w:sz w:val="28"/>
              </w:rPr>
              <w:t>年</w:t>
            </w:r>
            <w:r w:rsidR="004F2CD1" w:rsidRPr="004F2CD1">
              <w:rPr>
                <w:rFonts w:ascii="Times New Roman" w:eastAsia="仿宋_GB2312"/>
                <w:sz w:val="28"/>
              </w:rPr>
              <w:t>11</w:t>
            </w:r>
            <w:r w:rsidRPr="004F2CD1">
              <w:rPr>
                <w:rFonts w:ascii="Times New Roman" w:eastAsia="仿宋_GB2312"/>
                <w:sz w:val="28"/>
              </w:rPr>
              <w:t>月</w:t>
            </w:r>
            <w:r w:rsidR="004F2CD1" w:rsidRPr="004F2CD1">
              <w:rPr>
                <w:rFonts w:ascii="Times New Roman" w:eastAsia="仿宋_GB2312"/>
                <w:sz w:val="28"/>
              </w:rPr>
              <w:t>2</w:t>
            </w:r>
            <w:r w:rsidRPr="004F2CD1">
              <w:rPr>
                <w:rFonts w:ascii="Times New Roman" w:eastAsia="仿宋_GB2312"/>
                <w:sz w:val="28"/>
              </w:rPr>
              <w:t>日印发</w:t>
            </w:r>
          </w:p>
        </w:tc>
        <w:tc>
          <w:tcPr>
            <w:tcW w:w="195" w:type="dxa"/>
            <w:tcBorders>
              <w:top w:val="single" w:sz="6" w:space="0" w:color="auto"/>
              <w:bottom w:val="single" w:sz="12" w:space="0" w:color="auto"/>
            </w:tcBorders>
            <w:vAlign w:val="center"/>
          </w:tcPr>
          <w:p w:rsidR="00747BF6" w:rsidRPr="004F2CD1" w:rsidRDefault="00747BF6">
            <w:pPr>
              <w:pStyle w:val="10"/>
              <w:tabs>
                <w:tab w:val="left" w:pos="5040"/>
              </w:tabs>
              <w:spacing w:line="360" w:lineRule="exact"/>
              <w:rPr>
                <w:rFonts w:ascii="Times New Roman" w:eastAsia="仿宋_GB2312"/>
                <w:sz w:val="28"/>
              </w:rPr>
            </w:pPr>
          </w:p>
        </w:tc>
      </w:tr>
    </w:tbl>
    <w:p w:rsidR="00747BF6" w:rsidRPr="004F2CD1" w:rsidRDefault="00747BF6" w:rsidP="00E5031E">
      <w:pPr>
        <w:spacing w:line="20" w:lineRule="exact"/>
        <w:ind w:firstLine="0"/>
        <w:jc w:val="left"/>
        <w:rPr>
          <w:rFonts w:ascii="Times New Roman" w:eastAsia="仿宋_GB2312"/>
        </w:rPr>
      </w:pPr>
    </w:p>
    <w:sectPr w:rsidR="00747BF6" w:rsidRPr="004F2CD1" w:rsidSect="00747BF6">
      <w:footerReference w:type="even" r:id="rId8"/>
      <w:footerReference w:type="default" r:id="rId9"/>
      <w:pgSz w:w="11906" w:h="16838"/>
      <w:pgMar w:top="2098" w:right="1474" w:bottom="1985" w:left="1474" w:header="851" w:footer="1531" w:gutter="113"/>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BF6" w:rsidRDefault="00E5031E">
      <w:pPr>
        <w:spacing w:line="240" w:lineRule="auto"/>
      </w:pPr>
      <w:r>
        <w:separator/>
      </w:r>
    </w:p>
  </w:endnote>
  <w:endnote w:type="continuationSeparator" w:id="1">
    <w:p w:rsidR="00747BF6" w:rsidRDefault="00E503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仿宋"/>
    <w:charset w:val="86"/>
    <w:family w:val="modern"/>
    <w:pitch w:val="default"/>
    <w:sig w:usb0="00000000" w:usb1="00000000" w:usb2="00000010" w:usb3="00000000" w:csb0="00040000" w:csb1="00000000"/>
  </w:font>
  <w:font w:name="汉鼎简楷体">
    <w:altName w:val="宋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83838"/>
    </w:sdtPr>
    <w:sdtEndPr>
      <w:rPr>
        <w:rFonts w:ascii="Times New Roman" w:hAnsi="Times New Roman"/>
      </w:rPr>
    </w:sdtEndPr>
    <w:sdtContent>
      <w:p w:rsidR="00747BF6" w:rsidRDefault="00E5031E">
        <w:pPr>
          <w:pStyle w:val="a5"/>
          <w:jc w:val="left"/>
        </w:pPr>
        <w:r>
          <w:rPr>
            <w:rFonts w:hint="eastAsia"/>
          </w:rPr>
          <w:t xml:space="preserve"> 　</w:t>
        </w:r>
        <w:r>
          <w:rPr>
            <w:rFonts w:ascii="Times New Roman" w:hAnsi="Times New Roman"/>
          </w:rPr>
          <w:t xml:space="preserve">— </w:t>
        </w:r>
        <w:r w:rsidR="002A6D1E">
          <w:rPr>
            <w:rFonts w:ascii="Times New Roman" w:hAnsi="Times New Roman"/>
          </w:rPr>
          <w:fldChar w:fldCharType="begin"/>
        </w:r>
        <w:r>
          <w:rPr>
            <w:rFonts w:ascii="Times New Roman" w:hAnsi="Times New Roman"/>
          </w:rPr>
          <w:instrText xml:space="preserve"> PAGE   \* MERGEFORMAT </w:instrText>
        </w:r>
        <w:r w:rsidR="002A6D1E">
          <w:rPr>
            <w:rFonts w:ascii="Times New Roman" w:hAnsi="Times New Roman"/>
          </w:rPr>
          <w:fldChar w:fldCharType="separate"/>
        </w:r>
        <w:r>
          <w:rPr>
            <w:rFonts w:ascii="Times New Roman" w:hAnsi="Times New Roman"/>
            <w:lang w:val="zh-CN"/>
          </w:rPr>
          <w:t>2</w:t>
        </w:r>
        <w:r w:rsidR="002A6D1E">
          <w:rPr>
            <w:rFonts w:ascii="Times New Roman" w:hAnsi="Times New Roman"/>
          </w:rPr>
          <w:fldChar w:fldCharType="end"/>
        </w:r>
        <w:r>
          <w:rPr>
            <w:rFonts w:ascii="Times New Roman" w:hAnsi="Times New Roman"/>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6" w:rsidRDefault="00E5031E">
    <w:pPr>
      <w:pStyle w:val="a5"/>
      <w:tabs>
        <w:tab w:val="left" w:pos="5122"/>
        <w:tab w:val="right" w:pos="8844"/>
      </w:tabs>
      <w:rPr>
        <w:rFonts w:ascii="Times New Roman" w:hAnsi="Times New Roman"/>
      </w:rPr>
    </w:pPr>
    <w:r>
      <w:rPr>
        <w:rFonts w:ascii="Times New Roman" w:eastAsiaTheme="minorEastAsia" w:hAnsi="Times New Roman"/>
      </w:rPr>
      <w:t xml:space="preserve">— </w:t>
    </w:r>
    <w:r w:rsidR="002A6D1E">
      <w:rPr>
        <w:rFonts w:ascii="Times New Roman" w:eastAsiaTheme="minorEastAsia" w:hAnsi="Times New Roman"/>
      </w:rPr>
      <w:fldChar w:fldCharType="begin"/>
    </w:r>
    <w:r>
      <w:rPr>
        <w:rStyle w:val="a8"/>
        <w:rFonts w:ascii="Times New Roman" w:eastAsiaTheme="minorEastAsia" w:hAnsi="Times New Roman"/>
      </w:rPr>
      <w:instrText xml:space="preserve"> PAGE </w:instrText>
    </w:r>
    <w:r w:rsidR="002A6D1E">
      <w:rPr>
        <w:rFonts w:ascii="Times New Roman" w:eastAsiaTheme="minorEastAsia" w:hAnsi="Times New Roman"/>
      </w:rPr>
      <w:fldChar w:fldCharType="separate"/>
    </w:r>
    <w:r w:rsidR="000C21BE">
      <w:rPr>
        <w:rStyle w:val="a8"/>
        <w:rFonts w:ascii="Times New Roman" w:eastAsiaTheme="minorEastAsia" w:hAnsi="Times New Roman"/>
        <w:noProof/>
      </w:rPr>
      <w:t>6</w:t>
    </w:r>
    <w:r w:rsidR="002A6D1E">
      <w:rPr>
        <w:rFonts w:ascii="Times New Roman" w:eastAsiaTheme="minorEastAsia" w:hAnsi="Times New Roman"/>
      </w:rPr>
      <w:fldChar w:fldCharType="end"/>
    </w:r>
    <w:r>
      <w:rPr>
        <w:rFonts w:ascii="Times New Roman" w:eastAsiaTheme="minorEastAsia"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BF6" w:rsidRDefault="00E5031E">
      <w:pPr>
        <w:spacing w:line="240" w:lineRule="auto"/>
      </w:pPr>
      <w:r>
        <w:separator/>
      </w:r>
    </w:p>
  </w:footnote>
  <w:footnote w:type="continuationSeparator" w:id="1">
    <w:p w:rsidR="00747BF6" w:rsidRDefault="00E5031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bordersDoNotSurroundHeader/>
  <w:bordersDoNotSurroundFooter/>
  <w:proofState w:spelling="clean"/>
  <w:attachedTemplate r:id="rId1"/>
  <w:trackRevisions/>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
  <w:rsids>
    <w:rsidRoot w:val="6FE46DAD"/>
    <w:rsid w:val="00000D19"/>
    <w:rsid w:val="00003841"/>
    <w:rsid w:val="000451A1"/>
    <w:rsid w:val="00081671"/>
    <w:rsid w:val="000834F5"/>
    <w:rsid w:val="00094287"/>
    <w:rsid w:val="000C21BE"/>
    <w:rsid w:val="000D3AA4"/>
    <w:rsid w:val="001021A3"/>
    <w:rsid w:val="00102DF7"/>
    <w:rsid w:val="00112728"/>
    <w:rsid w:val="00122C9F"/>
    <w:rsid w:val="00140ECB"/>
    <w:rsid w:val="00164468"/>
    <w:rsid w:val="00182602"/>
    <w:rsid w:val="001A571D"/>
    <w:rsid w:val="00263A01"/>
    <w:rsid w:val="00263A7F"/>
    <w:rsid w:val="002930B6"/>
    <w:rsid w:val="002A2455"/>
    <w:rsid w:val="002A6D1E"/>
    <w:rsid w:val="003023FC"/>
    <w:rsid w:val="003304E1"/>
    <w:rsid w:val="00365C1A"/>
    <w:rsid w:val="00384C27"/>
    <w:rsid w:val="00385E1B"/>
    <w:rsid w:val="00390F4E"/>
    <w:rsid w:val="00423CBB"/>
    <w:rsid w:val="00443EAB"/>
    <w:rsid w:val="00447723"/>
    <w:rsid w:val="00452798"/>
    <w:rsid w:val="004631A1"/>
    <w:rsid w:val="00463453"/>
    <w:rsid w:val="004A5E94"/>
    <w:rsid w:val="004D67ED"/>
    <w:rsid w:val="004D7DE5"/>
    <w:rsid w:val="004F2CD1"/>
    <w:rsid w:val="00503539"/>
    <w:rsid w:val="00506B71"/>
    <w:rsid w:val="005110E9"/>
    <w:rsid w:val="00565667"/>
    <w:rsid w:val="00583458"/>
    <w:rsid w:val="005A5D7D"/>
    <w:rsid w:val="005B2DEB"/>
    <w:rsid w:val="005B6A40"/>
    <w:rsid w:val="005D4E65"/>
    <w:rsid w:val="005D4F62"/>
    <w:rsid w:val="005F7808"/>
    <w:rsid w:val="006131E7"/>
    <w:rsid w:val="00615B05"/>
    <w:rsid w:val="00644F87"/>
    <w:rsid w:val="006663F1"/>
    <w:rsid w:val="00681CD0"/>
    <w:rsid w:val="00684AAC"/>
    <w:rsid w:val="00692939"/>
    <w:rsid w:val="006E0540"/>
    <w:rsid w:val="006F21AC"/>
    <w:rsid w:val="006F5F5E"/>
    <w:rsid w:val="00720F2E"/>
    <w:rsid w:val="00723E52"/>
    <w:rsid w:val="00744461"/>
    <w:rsid w:val="00747BF6"/>
    <w:rsid w:val="007524E2"/>
    <w:rsid w:val="00764BA1"/>
    <w:rsid w:val="0076669E"/>
    <w:rsid w:val="007726EF"/>
    <w:rsid w:val="00774593"/>
    <w:rsid w:val="007A417A"/>
    <w:rsid w:val="007A4517"/>
    <w:rsid w:val="007C0B84"/>
    <w:rsid w:val="007C77FD"/>
    <w:rsid w:val="007D2FF7"/>
    <w:rsid w:val="007F6318"/>
    <w:rsid w:val="0080332E"/>
    <w:rsid w:val="00837743"/>
    <w:rsid w:val="008424AA"/>
    <w:rsid w:val="00860BD2"/>
    <w:rsid w:val="00862F2B"/>
    <w:rsid w:val="0086406E"/>
    <w:rsid w:val="00871424"/>
    <w:rsid w:val="0089017C"/>
    <w:rsid w:val="00891C1C"/>
    <w:rsid w:val="008E276B"/>
    <w:rsid w:val="008F4555"/>
    <w:rsid w:val="0090290D"/>
    <w:rsid w:val="00910138"/>
    <w:rsid w:val="009154B8"/>
    <w:rsid w:val="00946CC1"/>
    <w:rsid w:val="00947613"/>
    <w:rsid w:val="00964E6F"/>
    <w:rsid w:val="00966844"/>
    <w:rsid w:val="00977908"/>
    <w:rsid w:val="00993D60"/>
    <w:rsid w:val="009A3282"/>
    <w:rsid w:val="009C1E29"/>
    <w:rsid w:val="009C6D7E"/>
    <w:rsid w:val="009D1C76"/>
    <w:rsid w:val="009D2441"/>
    <w:rsid w:val="009D40E0"/>
    <w:rsid w:val="009D4655"/>
    <w:rsid w:val="009E20EC"/>
    <w:rsid w:val="009E656F"/>
    <w:rsid w:val="009F5851"/>
    <w:rsid w:val="00A176E9"/>
    <w:rsid w:val="00A311CD"/>
    <w:rsid w:val="00A368C7"/>
    <w:rsid w:val="00A423EF"/>
    <w:rsid w:val="00A530BE"/>
    <w:rsid w:val="00A57A7E"/>
    <w:rsid w:val="00A91AC5"/>
    <w:rsid w:val="00AA52BA"/>
    <w:rsid w:val="00AF289D"/>
    <w:rsid w:val="00AF660F"/>
    <w:rsid w:val="00B53C38"/>
    <w:rsid w:val="00B62181"/>
    <w:rsid w:val="00B71E72"/>
    <w:rsid w:val="00B737CD"/>
    <w:rsid w:val="00B82947"/>
    <w:rsid w:val="00B839BD"/>
    <w:rsid w:val="00B84787"/>
    <w:rsid w:val="00B909C5"/>
    <w:rsid w:val="00B943FF"/>
    <w:rsid w:val="00BB50C6"/>
    <w:rsid w:val="00BC1586"/>
    <w:rsid w:val="00BF23D4"/>
    <w:rsid w:val="00C30F6D"/>
    <w:rsid w:val="00C47746"/>
    <w:rsid w:val="00C55EC2"/>
    <w:rsid w:val="00C64067"/>
    <w:rsid w:val="00C64242"/>
    <w:rsid w:val="00CD1802"/>
    <w:rsid w:val="00D144E1"/>
    <w:rsid w:val="00D35EE3"/>
    <w:rsid w:val="00D3796C"/>
    <w:rsid w:val="00D53A91"/>
    <w:rsid w:val="00D60C01"/>
    <w:rsid w:val="00D707F0"/>
    <w:rsid w:val="00D72867"/>
    <w:rsid w:val="00DA311A"/>
    <w:rsid w:val="00DB52DE"/>
    <w:rsid w:val="00DC4E10"/>
    <w:rsid w:val="00DE0FF1"/>
    <w:rsid w:val="00DE6BB2"/>
    <w:rsid w:val="00DF7192"/>
    <w:rsid w:val="00E13144"/>
    <w:rsid w:val="00E206FC"/>
    <w:rsid w:val="00E5031E"/>
    <w:rsid w:val="00EB2056"/>
    <w:rsid w:val="00ED33AE"/>
    <w:rsid w:val="00ED55C5"/>
    <w:rsid w:val="00EE0E61"/>
    <w:rsid w:val="00EE5EF0"/>
    <w:rsid w:val="00F12F5D"/>
    <w:rsid w:val="00F3085D"/>
    <w:rsid w:val="00F44326"/>
    <w:rsid w:val="00F977BA"/>
    <w:rsid w:val="00FA40E3"/>
    <w:rsid w:val="00FC215B"/>
    <w:rsid w:val="00FC52C7"/>
    <w:rsid w:val="00FD3445"/>
    <w:rsid w:val="00FD7EA4"/>
    <w:rsid w:val="09575072"/>
    <w:rsid w:val="34D503F6"/>
    <w:rsid w:val="42C460DC"/>
    <w:rsid w:val="632C2DF5"/>
    <w:rsid w:val="6FE4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rules v:ext="edit">
        <o:r id="V:Rule2"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BF6"/>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rsid w:val="00747BF6"/>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747BF6"/>
    <w:pPr>
      <w:adjustRightInd w:val="0"/>
      <w:snapToGrid/>
      <w:ind w:firstLine="0"/>
      <w:jc w:val="left"/>
    </w:pPr>
    <w:rPr>
      <w:spacing w:val="-25"/>
    </w:rPr>
  </w:style>
  <w:style w:type="paragraph" w:styleId="a4">
    <w:name w:val="Balloon Text"/>
    <w:basedOn w:val="a"/>
    <w:semiHidden/>
    <w:qFormat/>
    <w:rsid w:val="00747BF6"/>
    <w:rPr>
      <w:sz w:val="18"/>
      <w:szCs w:val="18"/>
    </w:rPr>
  </w:style>
  <w:style w:type="paragraph" w:styleId="a5">
    <w:name w:val="footer"/>
    <w:basedOn w:val="a"/>
    <w:link w:val="Char"/>
    <w:uiPriority w:val="99"/>
    <w:qFormat/>
    <w:rsid w:val="00747BF6"/>
    <w:pPr>
      <w:tabs>
        <w:tab w:val="center" w:pos="4153"/>
        <w:tab w:val="right" w:pos="8306"/>
      </w:tabs>
      <w:spacing w:line="400" w:lineRule="atLeast"/>
      <w:ind w:firstLine="0"/>
      <w:jc w:val="center"/>
    </w:pPr>
    <w:rPr>
      <w:rFonts w:ascii="宋体" w:eastAsia="宋体" w:hAnsi="宋体"/>
      <w:sz w:val="28"/>
    </w:rPr>
  </w:style>
  <w:style w:type="paragraph" w:styleId="a6">
    <w:name w:val="header"/>
    <w:basedOn w:val="a"/>
    <w:qFormat/>
    <w:rsid w:val="00747BF6"/>
    <w:pPr>
      <w:pBdr>
        <w:bottom w:val="single" w:sz="6" w:space="1" w:color="auto"/>
      </w:pBdr>
      <w:tabs>
        <w:tab w:val="center" w:pos="4153"/>
        <w:tab w:val="right" w:pos="8306"/>
      </w:tabs>
      <w:spacing w:line="240" w:lineRule="atLeast"/>
      <w:jc w:val="center"/>
    </w:pPr>
    <w:rPr>
      <w:sz w:val="18"/>
    </w:rPr>
  </w:style>
  <w:style w:type="table" w:styleId="a7">
    <w:name w:val="Table Grid"/>
    <w:basedOn w:val="a1"/>
    <w:qFormat/>
    <w:rsid w:val="00747B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qFormat/>
    <w:rsid w:val="00747BF6"/>
  </w:style>
  <w:style w:type="paragraph" w:customStyle="1" w:styleId="2">
    <w:name w:val="标题2"/>
    <w:basedOn w:val="a"/>
    <w:next w:val="a"/>
    <w:qFormat/>
    <w:rsid w:val="00747BF6"/>
    <w:pPr>
      <w:ind w:firstLine="0"/>
      <w:jc w:val="center"/>
    </w:pPr>
    <w:rPr>
      <w:rFonts w:ascii="汉鼎简楷体" w:eastAsia="汉鼎简楷体" w:hAnsi="Book Antiqua"/>
    </w:rPr>
  </w:style>
  <w:style w:type="paragraph" w:customStyle="1" w:styleId="10">
    <w:name w:val="标题1"/>
    <w:basedOn w:val="a"/>
    <w:next w:val="a"/>
    <w:qFormat/>
    <w:rsid w:val="00747BF6"/>
    <w:pPr>
      <w:tabs>
        <w:tab w:val="left" w:pos="9193"/>
        <w:tab w:val="left" w:pos="9827"/>
      </w:tabs>
      <w:spacing w:line="700" w:lineRule="atLeast"/>
      <w:ind w:firstLine="0"/>
      <w:jc w:val="center"/>
    </w:pPr>
    <w:rPr>
      <w:rFonts w:ascii="汉鼎简大宋" w:eastAsia="汉鼎简大宋"/>
      <w:sz w:val="44"/>
    </w:rPr>
  </w:style>
  <w:style w:type="paragraph" w:customStyle="1" w:styleId="a9">
    <w:name w:val="印数"/>
    <w:basedOn w:val="aa"/>
    <w:qFormat/>
    <w:rsid w:val="00747BF6"/>
    <w:pPr>
      <w:jc w:val="right"/>
    </w:pPr>
  </w:style>
  <w:style w:type="paragraph" w:customStyle="1" w:styleId="aa">
    <w:name w:val="印发栏"/>
    <w:basedOn w:val="a3"/>
    <w:rsid w:val="00747BF6"/>
    <w:pPr>
      <w:tabs>
        <w:tab w:val="left" w:pos="284"/>
        <w:tab w:val="left" w:pos="5387"/>
      </w:tabs>
      <w:spacing w:line="397" w:lineRule="atLeast"/>
    </w:pPr>
    <w:rPr>
      <w:spacing w:val="0"/>
      <w:sz w:val="28"/>
    </w:rPr>
  </w:style>
  <w:style w:type="paragraph" w:customStyle="1" w:styleId="ab">
    <w:name w:val="紧急程度"/>
    <w:basedOn w:val="ac"/>
    <w:qFormat/>
    <w:rsid w:val="00747BF6"/>
    <w:pPr>
      <w:spacing w:line="397" w:lineRule="atLeast"/>
    </w:pPr>
    <w:rPr>
      <w:rFonts w:ascii="汉鼎简黑体" w:eastAsia="汉鼎简黑体" w:hAnsi="汉鼎简黑体"/>
      <w:sz w:val="32"/>
    </w:rPr>
  </w:style>
  <w:style w:type="paragraph" w:customStyle="1" w:styleId="ac">
    <w:name w:val="密级"/>
    <w:basedOn w:val="a"/>
    <w:rsid w:val="00747BF6"/>
    <w:pPr>
      <w:adjustRightInd w:val="0"/>
      <w:snapToGrid/>
      <w:spacing w:line="425" w:lineRule="atLeast"/>
      <w:ind w:firstLine="0"/>
      <w:jc w:val="right"/>
    </w:pPr>
    <w:rPr>
      <w:rFonts w:ascii="黑体" w:eastAsia="黑体"/>
      <w:sz w:val="30"/>
    </w:rPr>
  </w:style>
  <w:style w:type="paragraph" w:customStyle="1" w:styleId="ad">
    <w:name w:val="附件栏"/>
    <w:basedOn w:val="a"/>
    <w:qFormat/>
    <w:rsid w:val="00747BF6"/>
  </w:style>
  <w:style w:type="paragraph" w:customStyle="1" w:styleId="ae">
    <w:name w:val="红线"/>
    <w:basedOn w:val="1"/>
    <w:qFormat/>
    <w:rsid w:val="00747BF6"/>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3">
    <w:name w:val="标题3"/>
    <w:basedOn w:val="a"/>
    <w:next w:val="a"/>
    <w:qFormat/>
    <w:rsid w:val="00747BF6"/>
    <w:rPr>
      <w:rFonts w:ascii="汉鼎简黑体" w:eastAsia="汉鼎简黑体"/>
    </w:rPr>
  </w:style>
  <w:style w:type="paragraph" w:customStyle="1" w:styleId="af">
    <w:name w:val="线型"/>
    <w:basedOn w:val="af0"/>
    <w:qFormat/>
    <w:rsid w:val="00747BF6"/>
    <w:pPr>
      <w:spacing w:line="240" w:lineRule="auto"/>
      <w:ind w:left="0" w:firstLine="0"/>
      <w:jc w:val="center"/>
    </w:pPr>
    <w:rPr>
      <w:sz w:val="21"/>
    </w:rPr>
  </w:style>
  <w:style w:type="paragraph" w:customStyle="1" w:styleId="af0">
    <w:name w:val="抄送栏"/>
    <w:basedOn w:val="a"/>
    <w:qFormat/>
    <w:rsid w:val="00747BF6"/>
    <w:pPr>
      <w:adjustRightInd w:val="0"/>
      <w:snapToGrid/>
      <w:spacing w:line="454" w:lineRule="atLeast"/>
      <w:ind w:left="851" w:hanging="851"/>
    </w:pPr>
    <w:rPr>
      <w:sz w:val="28"/>
    </w:rPr>
  </w:style>
  <w:style w:type="paragraph" w:customStyle="1" w:styleId="af1">
    <w:name w:val="主题词"/>
    <w:basedOn w:val="a"/>
    <w:rsid w:val="00747BF6"/>
    <w:pPr>
      <w:adjustRightInd w:val="0"/>
      <w:snapToGrid/>
      <w:spacing w:line="240" w:lineRule="atLeast"/>
      <w:ind w:firstLine="0"/>
      <w:jc w:val="left"/>
    </w:pPr>
    <w:rPr>
      <w:rFonts w:ascii="宋体" w:eastAsia="宋体"/>
      <w:b/>
    </w:rPr>
  </w:style>
  <w:style w:type="paragraph" w:customStyle="1" w:styleId="af2">
    <w:name w:val="文头"/>
    <w:basedOn w:val="a"/>
    <w:qFormat/>
    <w:rsid w:val="00747BF6"/>
    <w:pPr>
      <w:tabs>
        <w:tab w:val="left" w:pos="6663"/>
      </w:tabs>
      <w:spacing w:after="800" w:line="1500" w:lineRule="atLeast"/>
      <w:ind w:left="511" w:right="227" w:hanging="284"/>
      <w:jc w:val="distribute"/>
    </w:pPr>
    <w:rPr>
      <w:rFonts w:ascii="汉鼎简大宋" w:eastAsia="汉鼎简大宋"/>
      <w:b/>
      <w:color w:val="FF0000"/>
      <w:w w:val="62"/>
      <w:sz w:val="140"/>
    </w:rPr>
  </w:style>
  <w:style w:type="character" w:customStyle="1" w:styleId="Char">
    <w:name w:val="页脚 Char"/>
    <w:basedOn w:val="a0"/>
    <w:link w:val="a5"/>
    <w:uiPriority w:val="99"/>
    <w:qFormat/>
    <w:rsid w:val="00747BF6"/>
    <w:rPr>
      <w:rFonts w:ascii="宋体" w:hAnsi="宋体"/>
      <w:snapToGrid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457;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9C98799-E308-4F12-ADCA-A9FFD7E3A53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太政发2020.wpt</Template>
  <TotalTime>11</TotalTime>
  <Pages>6</Pages>
  <Words>364</Words>
  <Characters>2076</Characters>
  <Application>Microsoft Office Word</Application>
  <DocSecurity>0</DocSecurity>
  <Lines>17</Lines>
  <Paragraphs>4</Paragraphs>
  <ScaleCrop>false</ScaleCrop>
  <Company>Microsoft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Administrator</dc:creator>
  <cp:lastModifiedBy>华浩春</cp:lastModifiedBy>
  <cp:revision>37</cp:revision>
  <cp:lastPrinted>2021-06-24T07:23:00Z</cp:lastPrinted>
  <dcterms:created xsi:type="dcterms:W3CDTF">2020-01-14T02:26:00Z</dcterms:created>
  <dcterms:modified xsi:type="dcterms:W3CDTF">2021-11-02T00:27:00Z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DA68C937BA1642338478FB34F069AB2E</vt:lpwstr>
  </property>
</Properties>
</file>