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786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0"/>
        <w:jc w:val="center"/>
        <w:rPr>
          <w:rFonts w:hint="eastAsia" w:ascii="宋体" w:hAnsi="宋体" w:eastAsia="宋体" w:cs="宋体"/>
          <w:i w:val="0"/>
          <w:iCs w:val="0"/>
          <w:caps w:val="0"/>
          <w:color w:val="000000"/>
          <w:spacing w:val="0"/>
          <w:sz w:val="28"/>
          <w:szCs w:val="28"/>
          <w:bdr w:val="none" w:color="auto" w:sz="0" w:space="0"/>
        </w:rPr>
      </w:pPr>
      <w:r>
        <w:rPr>
          <w:rFonts w:hint="eastAsia" w:ascii="宋体" w:hAnsi="宋体" w:eastAsia="宋体" w:cs="宋体"/>
          <w:i w:val="0"/>
          <w:iCs w:val="0"/>
          <w:caps w:val="0"/>
          <w:color w:val="000000"/>
          <w:spacing w:val="0"/>
          <w:sz w:val="28"/>
          <w:szCs w:val="28"/>
          <w:bdr w:val="none" w:color="auto" w:sz="0" w:space="0"/>
        </w:rPr>
        <w:t>   2025年苏州市吴江区国民经济和社会发展统计公报</w:t>
      </w:r>
    </w:p>
    <w:p w14:paraId="2853B2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80" w:firstLineChars="2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2025年，全区上下坚持以习近平新时代中国特色社会主义思想为指导，全面贯彻党的二十大和二十届历次全会精神，深入落实习近平总书记对江苏、苏州工作及长三角一体化发展重要讲话重要指示精神，统筹推进“一统领三稳三新三保”，圆满完成“十四五”收官任务，经济社会高质量发展取得新成效，蝉联全市高质量综合考核第一方阵。</w:t>
      </w:r>
    </w:p>
    <w:p w14:paraId="7D60F7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一、综合经济实力</w:t>
      </w:r>
    </w:p>
    <w:p w14:paraId="7BB89D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初步核算，全年实现地区生产总值2762.87亿元，按可比价计算，比上年增长5.7%(下文统称增长）。分产业看，第一产业增加</w:t>
      </w:r>
      <w:bookmarkStart w:id="0" w:name="_GoBack"/>
      <w:bookmarkEnd w:id="0"/>
      <w:r>
        <w:rPr>
          <w:rFonts w:hint="eastAsia" w:ascii="宋体" w:hAnsi="宋体" w:eastAsia="宋体" w:cs="宋体"/>
          <w:i w:val="0"/>
          <w:iCs w:val="0"/>
          <w:caps w:val="0"/>
          <w:color w:val="000000"/>
          <w:spacing w:val="0"/>
          <w:sz w:val="24"/>
          <w:szCs w:val="24"/>
          <w:bdr w:val="none" w:color="auto" w:sz="0" w:space="0"/>
        </w:rPr>
        <w:t>值40.35亿元，增长5.4%;第二产业增加值1389.41亿元，增长6.0%;第三产业增加值1333.11亿元，增长5.3%。</w:t>
      </w:r>
    </w:p>
    <w:p w14:paraId="5352A4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财政收入平稳增长。全年实现一般公共预算收入 243.55亿元，增长1.0%，其中税收收入195.86亿元，税收收入占一般公共预算收入比重80.4%。全年完成一般公共预算支出250.34亿元，其中民生支出201.90亿元，占一般公共预算支出比重80.7%。</w:t>
      </w:r>
    </w:p>
    <w:p w14:paraId="01910C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经营主体规模进一步扩大。全年新增经营主体28003户，其中私营企业10032户，个体工商户15726户。期末全区经营主体总数达311855户，其中私营企业113520户，个体工商户191235户，分别增长9.9%、9.7%、9.0%。</w:t>
      </w:r>
    </w:p>
    <w:p w14:paraId="30401D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二、农林牧渔业</w:t>
      </w:r>
    </w:p>
    <w:p w14:paraId="3FA3AA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农业生产保持稳定。全年实现农林牧渔业总产值70.94亿元，增长5.1%。全区粮食总产量17.27万吨，比上年增加0.08万吨，增长0.5%，“十四五”期间实现五年连增，全年粮食播种面积35.34万亩，比上年增加0.3万亩，增长0.85%。蔬菜生产保持平稳，全区蔬菜播种面积18.57万亩，产量35.75万吨。全区水产面积20.7万亩，水产品年产量57515吨。畜牧业总体向好，全年存栏生猪6.6万头（能繁母猪0.47万头），出栏生猪10.3万头。全年新增高标准农田面积0.83万亩，比上年增加0.1万亩，增长13.7%。江之源现代数智渔业产业园等9个重要事项列入全市科技强农大会议程，项目数量、签约金额均列全市第一，揭牌成立“国农科创产业服务平台苏州中心”。</w:t>
      </w:r>
    </w:p>
    <w:p w14:paraId="13ED29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三、工业</w:t>
      </w:r>
    </w:p>
    <w:p w14:paraId="777197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工业经济量质齐升。全年实现规模以上工业总产值5776.99亿元，增长4.8%，规上工业增加值增长8.1%。四大主导产业支撑较好，合计实现产值4816.91亿元，占全区比重为83.4%，增长5.2%，高于全区平均0.4个百分点。其中，光电缆业产值增长15.8%，装备制造业产值增长7.0%。全年规上工业实现高新技术产业产值3572.69亿元，增长7.1%，占规上工业产值比重为61.8%，较上年提升0.5个百分点。新材料产业完成产值1641.67亿元，增长12.7%。新能源产业加快培育，全年完成产值1028.86亿元，增长3.0%，成为第五个千亿级产业。</w:t>
      </w:r>
    </w:p>
    <w:p w14:paraId="0E2DAF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四、建筑业</w:t>
      </w:r>
    </w:p>
    <w:p w14:paraId="5458AF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建筑业运行承压。全区资质以上建筑业企业196家，完成建筑业总产值216.59亿元，下降12.7%。其中，建筑工程完成产值203.00亿元；安装工程完成产值11.58亿元。全区总承包和专业承包建筑业企业在省内完成产值167.69亿元；省外完成产值48.90亿元。建筑业企业房屋施工面积1105.77万平方米，下降11.2%；房屋竣工面积364.58万平方米，下降16.4%。</w:t>
      </w:r>
    </w:p>
    <w:p w14:paraId="0BA56B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五、固定资产投资和房地产开发</w:t>
      </w:r>
    </w:p>
    <w:p w14:paraId="5F9310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固定资产投资增速逐步回落。全年完成固定资产投资697.10亿元，下降2.8%。分领域看，基础设施投资下降28.7%，制造业投资增长5.0%。分产业看，第二产业投资增长4.7%，第三产业投资下降7.6%。</w:t>
      </w:r>
    </w:p>
    <w:p w14:paraId="56C20F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两产两进两强”全力推进，4个省重大、57个市重点、323个区重点项目分别完成年度计划的140%、146%、125%，新签约、新开工、新投产亿元以上产业项目实现每月“三过十”，稳居全市第一方阵。21个项目获得地方政府专项债15.82亿元。14个项目获批“两重”“两新”资金4.57亿元，其中，支持设施农业更新改造项目为全国首批、全省唯一。</w:t>
      </w:r>
    </w:p>
    <w:p w14:paraId="42EF9D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全年完成房地产开发投资232.26亿元，下降6.2%。全年房屋施工面积764.66万平方米，下降23.3%；竣工面积181.75万平方米，下降32.1%。全年商品房销售面积100.95万平方米，下降5.2%；商品房销售额148.04亿元，下降7.1%。</w:t>
      </w:r>
    </w:p>
    <w:p w14:paraId="29187A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六、交通、邮政电信和旅游业</w:t>
      </w:r>
    </w:p>
    <w:p w14:paraId="0541D0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交通基础设施持续完善。年末全区等级公路里程2385.07公里，其中高速公路118.4公里，一级公路260.12公里。全年完成公路旅客运输量3196.03万人，货物运输量2834万吨，货物周转量26.17亿吨公里。沪苏湖高铁于2024年12月26日正式运营通车，苏州南站、盛泽站同步投入使用，2025年实现铁路旅客运输量604.88万人次。通苏嘉甬高铁基本完成全线桥梁下部结构施工，汾湖隧道顺利贯通，各项施工加快推进。年末民用汽车保有量688833辆，本年净增27208辆；年末私人汽车保有量604376辆，本年净增25309辆。</w:t>
      </w:r>
    </w:p>
    <w:p w14:paraId="199CB8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邮政电信发展稳定。全年实现邮政业务收入2.90亿元，实现电信业务收入30.88亿元，年末全区拥有固定电话用户数13.45万户，移动电话用户数234.87万户，互联网用户133.27万户。</w:t>
      </w:r>
    </w:p>
    <w:p w14:paraId="39EA39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旅游产业繁荣发展。全年实现旅游总收入251.54亿元，国内旅游接待人数2302.37万人次。深化“旅游+百业”融合，打造沿东太湖、环长漾2条徒步线路，推出8条郊野线路。1条线路入选省乡村旅游与休闲农业精品线路，2条线路入选“水韵江苏·村游旅居通享包”，吴江运河文化旅游景区入选全省首批“游学养推荐目的地”。协同太湖新城高标准建设东太湖驿站，打造“东太湖S湾”全新IP。精心策划推进“江南十二场欢聚”主题游线，开通“太湖揽胜”七都至东山水上游线。成功举办第十三届环太湖国际公路自行车赛、2025国际攀联世界杯攀岩赛（汾湖站）、全国“京杭大运河”皮划艇马拉松系列赛、全省青少年帆船锦标赛等系列品牌赛事。</w:t>
      </w:r>
    </w:p>
    <w:p w14:paraId="4525D6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七、国内贸易</w:t>
      </w:r>
    </w:p>
    <w:p w14:paraId="5C4188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消费促进和内贸流通成果丰硕。全年实现社会消费品零售总额785.32亿元，增长2.7%，限上批零住餐业销售额（营业额）分别增长2.1%、3.4%、-1.0%、7.6%。打造“乐购吴江”品牌，全年开展超400场促消费活动，引进首店超50家，以旧换新交易达5.4万笔。东方丝绸市场交易额突破两千亿大关。“盛泽织造”“恒力”“桑罗”三大品牌上榜首批中国消费名品名单。盛家厍街区入选省夜间消费集聚区。</w:t>
      </w:r>
    </w:p>
    <w:p w14:paraId="066E62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限额以上批发和零售业单位中，可穿戴智能设备、计算机及其配套产品、智能手机零售额分别增长29.3%、37.6%、20.3%。新能源汽车零售额占限上批零业零售额比重为9.6%，增长4.7%。</w:t>
      </w:r>
    </w:p>
    <w:p w14:paraId="6E236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线上消费保持活跃。全年限额以上批发零售业通过公共网络实现零售额55.57亿元，增长43.5%，拉动社会消费品零售总额增速增长2.2个百分点。</w:t>
      </w:r>
    </w:p>
    <w:p w14:paraId="485294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八、外资外贸</w:t>
      </w:r>
    </w:p>
    <w:p w14:paraId="0D8B9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利用外资稳步增长。全年新设外资项目86个，新增合同外资5.55亿美元，新批及净增资3000万美元以上项目8个。完成实际使用外资3.79亿美元，增长15.6%。新批境外投资项目77个，新签境外投资中方协议投资额3.80亿美元。大力实施“百团千企”出海行动，广交会参展规模连续四届创新高。促成10家企业利润再投资3.07亿元，形成全区首例税收抵免案例。2家企业获评江苏省第十六批跨国公司地区总部和功能性机构，4家企业被市商务局核定为2025年新一轮外资研发中心，高创电子获评2025年省重点支持的外资研发中心。</w:t>
      </w:r>
    </w:p>
    <w:p w14:paraId="7DB69C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货物进出口增势较好。全年实现货物贸易进出口总额262.21亿美元，增长6.4%。出口总额210.19亿美元，增长9.3%。从出口市场看，全年对中国台湾省出口额8.83亿美元，增长62.3%；对东南亚国家联盟出口额43.56亿美元，增长18.8%；对非洲出口额5.30亿美元，增长17.0%；对“一带一路”国家出口额110.3亿美元，增长14.5%；对美国、俄罗斯出口额分别下降4.5%、9.0%。</w:t>
      </w:r>
    </w:p>
    <w:p w14:paraId="431D1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九、金融业</w:t>
      </w:r>
    </w:p>
    <w:p w14:paraId="0E359F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金融市场稳健运行。年末辖内金融机构本外币存款余额5968.44亿元，比年初增加309.64亿元，增长5.5%，本外币贷款余额6955.30亿元，比年初增加576.95亿元，增长9.0%。全年实现金融机构利息净收入和手续费及佣金收入127.75亿元，增长1.2%；实现保费收入76.63亿元，增长13.9%。</w:t>
      </w:r>
    </w:p>
    <w:p w14:paraId="079ABF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资本市场稳定扩容。年内新增上市公司2家，累计境内外上市公司34家，其中境内上市29家。</w:t>
      </w:r>
    </w:p>
    <w:p w14:paraId="5461E1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十、科技和教育</w:t>
      </w:r>
    </w:p>
    <w:p w14:paraId="0A813B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新质生产力加速汇聚。2025年全区新增建有研发机构的规上工业企业247家，累计1951家，建有率90.6%，较去年提升10.4个百分点。英诺赛科成为英伟达800V架构唯一合作中国芯片企业，全球最大氮化镓功率器件企业地位巩固。博众“首台国产商用200KV透射电镜”入选国家“十四五”硬核科技成果。微康益生菌入选工信部首批生物制造中试能力建设平台名单。亨通获评国家级光电线缆材料生产应用验证平台，2个中试平台入选工信部首批重点培育名单，新增长三角创新联合体项目1个，省、市创新联合体11家，省“三首两新”新技术新产品35项。完成全省首单AIC股权基金省内投资项目，规模500亿元的社保科创基金下设专项子基金落地吴江。新增国家科技型中小企业2408家，有效高新技术企业达1706家，新增市级以上瞪羚企业100家，市级以上独角兽培育企业27家，均创历史新高。固德电材、弘远电气入选省科技企业上市培育计划。年末全区万人发明专利拥有量104.51件，比2024年增加13.22件，新授权发明专利2516件，有效发明专利拥有量16462件，比2024年增加2106件，增长14.7%。</w:t>
      </w:r>
    </w:p>
    <w:p w14:paraId="5DC6B8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教育资源供给持续扩充。年末全区拥有各级各类学校235所，其中幼儿园（含分园）141所、小学36所、初中38所、高中16所、特殊教育学校1所、普通中等专业学校2所、普通高等学校1所。全年建成学校5所、新开工学校2所、续建学校2所，9所学校建成后可新增学位约9000个。全区在校学生数232838人，专任教师数17106人。杨嘉墀实验学校“全面推进‘科学馆里的学校’建设”入选全国中小学科学教育工作优秀案例（江苏省仅4例）。依托长三角生态绿色一体化发展示范区教师发展学院，设立创新思维发展学院，实施“沃土·脱颖”计划并取得阶段性成效。</w:t>
      </w:r>
    </w:p>
    <w:p w14:paraId="7ED482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十一、文化、卫生和体育</w:t>
      </w:r>
    </w:p>
    <w:p w14:paraId="5EFB75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文化建设持续提升。全区现有区级文化馆1个，镇文化站11个，全年开展文化“三下乡”活动266场。全区现有电影放映单位21家，影院观众累计231.50万人次，放映农村公益电影1887.5场。全年新增签约文旅项目27个，总投资10.6亿元；新增开工文旅项目33个，总投资23.36亿元；新增投产（投用）文旅项目38个，总投资10.80亿元。开弦弓村综合改造项目入选省重点文旅产业项目名录，14个项目入选市文化产业重点项目。全区规模以上文化及相关产业企业实现营业收入255亿元，同比增长10.5%。</w:t>
      </w:r>
    </w:p>
    <w:p w14:paraId="18CF6F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卫生健康服务能力不断提高。年末全区拥有各类医疗卫生机构594家，其中医院、卫生院44家。卫生机构床位数9572张，拥有卫生技术人员11902人，其中执业医师、执业助理医师5071人。注册护士5061人，其中医院、卫生院4116人。区镇卫生院22家，乡村医生和卫生员人数195人，社区卫生服务站（村卫生室）189个。苏州九院在2025年公布的2023年全国三级公立医院绩效考核中获评B++等级，跻身全国三级公立医院前35%，创历史新高。京东方医院被确认为三级综合医院。学专科建设取得突破，苏州九院神经内科、普通外科新获评省级临床重点专科，消化内科新获评省级临床重点专科建设单位，新申报苏州市级重点学科3个。苏州九院获批5项国家自然科学基金项目。其中包括4项面上项目、1项青年科学基金项目，立项数量与质量均创历史新高。</w:t>
      </w:r>
    </w:p>
    <w:p w14:paraId="5B0B30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体育事业蓬勃发展。新建多功能运动场6片、笼式球场9片。嵌入式更新、布设体育健身设施79套，组织开展群众体育和社区赛事活动近100场。因地制宜举办首届吴江区水上运动荟13项。推进足球城市建设，吴江区足球青训中心揭牌成立。运动员吕子轩在世界中学生夏季运动会上勇夺铅球、铁饼双料冠军，在全国少年田径锦标赛中斩获男子U16组滑步推铅球、铁饼双料冠军。运动员陈鑫烑在亚洲少年田径锦标赛中获得女子铅球冠军，在全国少年田径锦标赛中摘得女子U18组滑步推铅球冠军。</w:t>
      </w:r>
    </w:p>
    <w:p w14:paraId="2F0896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十二、城乡建设</w:t>
      </w:r>
    </w:p>
    <w:p w14:paraId="71132C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城市更新纵深推进。全年对南新村小区等14个老旧小区进行改造提升，改造总面积约59万平方米，共693栋，涉及居民5230户，争取上级下达资金约2800万元。完成 4个城中村改造、20个道路积水点整治和314台住宅老旧电梯更新，建成10个市级“和美家园”小区。改造提升社区公园1个，新建口袋公园3个。围绕住房保障体系建设，不断优化政策供给，通过新建、改建、配建等多种方式，全年发放租赁补贴227户，完成率113.5%；筹建保障性租赁住房3139套，完成率104.7%，在全省的县区级筹集工作中位列全省第三，苏州市第一。苏南运河吴江段实现 2000吨级船舶全线通航，江陵路高架、东太湖大道东延开工建设。</w:t>
      </w:r>
    </w:p>
    <w:p w14:paraId="4F76C2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乡村振兴扎实推进。吴江入选国家乡村振兴示范县创建名单，获评全省乡村振兴争先进位县、全省区域性农业综合服务中心第一批整体推进县。基塘种养与蚕桑文化系统入选第三批中国全球重要农业文化遗产预备名单。坚持以“富美江村”品牌为引领，统筹推进环鼋荡、环澄湖、环长漾等八大片区114个项目建设，年内完成投资62.84亿元；开工建设农业农村重点项目25个，年内完成投资12.1亿元。新增宜居宜业和美乡村 20个，平望庙头村获评国家级美丽休闲乡村。</w:t>
      </w:r>
    </w:p>
    <w:p w14:paraId="78CB68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十三、人民生活</w:t>
      </w:r>
    </w:p>
    <w:p w14:paraId="6A9BAC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人口总量平稳增长。年末全区户籍总户数为313816户，总人口为931952人，比上年末增加3457人，增长0.4%。其中男性450677人，女性481275人，男女性别比为93.64:100。全年出生人口5311人，出生率为5.71‰；死亡人口6652人，死亡率7.15‰；人口自然增长率-1.44‰。全区非农业人口777323人。</w:t>
      </w:r>
    </w:p>
    <w:p w14:paraId="16ED10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社会保障持续改善。年末基本医疗保险参保人数132.94万人，其中职工基本医疗保险参保人数92.26万人，居民基本医疗保险参保人数40.68万人。城镇居民医疗保险覆盖率100%。就业形势保持稳定。全年新增城镇就业人数49064人，全区用工备案人数达56.08万人，同比增加0.78万人，增幅为1.4%。统筹养老事业发展，全区共有居家养老服务机构336个，养老机构床位数5855张，社区照料床位3883张。建成投用为老服务中心2个、改建智慧养老院2家，新增老年助餐设施点位11个。全方位做好困难群众救助帮扶工作，向低保、困境儿童等1.11万名困难群众提供帮扶服务，发放各类救助资金1.31亿元，低保标准提升至1208元/月/人。</w:t>
      </w:r>
    </w:p>
    <w:p w14:paraId="3D0DD6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升级改造“敬老一卡通”，累计刷卡近19万人次。新增创建社保业务“就近办”合作网点30家。</w:t>
      </w:r>
    </w:p>
    <w:p w14:paraId="1C2A69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人才队伍扩容提质。全国首创高级工程师+高级技师“一评双证”人才评价新机制，获评国家级高技能人才培训基地1家（全省5家、系全市唯一），新增国家级博士后科研工作站3家，入选中国博士后科学基金资助5项。新增技能人才1.16万人、其中高技能人才5273人。全年引留高校毕业生超2.7万人。</w:t>
      </w:r>
    </w:p>
    <w:p w14:paraId="6D78F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居民收入持续增长。城乡一体化住户收支调查显示，全年全体居民人均可支配收入77997元，增长4.3%。按常住地分，城镇居民人均可支配收入90189元，增长4.0%；农村居民人均可支配收入51508元，增长5.1%，城乡居民人均收入比1.75：1，城乡居民收入比进一步缩小，收入结构不断优化。</w:t>
      </w:r>
    </w:p>
    <w:p w14:paraId="300C47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rPr>
        <w:t>十四、节能降耗与环境保护</w:t>
      </w:r>
    </w:p>
    <w:p w14:paraId="3A9529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生态保护成效显著。太湖水环境综合治理提升模式入选长江大保护优秀实践案例，上线全省首个河湖长制AI智能工具。地表水国省考断面水质优Ⅲ比例达100%，鼋荡湖口断面水质首次达到Ⅲ类湖泊标准。PM</w:t>
      </w:r>
      <w:r>
        <w:rPr>
          <w:rFonts w:hint="eastAsia" w:ascii="宋体" w:hAnsi="宋体" w:eastAsia="宋体" w:cs="宋体"/>
          <w:i w:val="0"/>
          <w:iCs w:val="0"/>
          <w:caps w:val="0"/>
          <w:color w:val="000000"/>
          <w:spacing w:val="0"/>
          <w:sz w:val="24"/>
          <w:szCs w:val="24"/>
          <w:bdr w:val="none" w:color="auto" w:sz="0" w:space="0"/>
          <w:vertAlign w:val="subscript"/>
        </w:rPr>
        <w:t>2.5</w:t>
      </w:r>
      <w:r>
        <w:rPr>
          <w:rFonts w:hint="eastAsia" w:ascii="宋体" w:hAnsi="宋体" w:eastAsia="宋体" w:cs="宋体"/>
          <w:i w:val="0"/>
          <w:iCs w:val="0"/>
          <w:caps w:val="0"/>
          <w:color w:val="000000"/>
          <w:spacing w:val="0"/>
          <w:sz w:val="24"/>
          <w:szCs w:val="24"/>
          <w:bdr w:val="none" w:color="auto" w:sz="0" w:space="0"/>
        </w:rPr>
        <w:t>浓度29微克/立方米。完成低效工业用地转型2652亩。吴江开发区、吴江高新区、七都镇新材料产业园入选省级绿色工业园区。新增省级绿色工厂26家，首批省级零碳工厂1家、近零碳工厂2家。</w:t>
      </w:r>
    </w:p>
    <w:p w14:paraId="2441D0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注：本公报中2025年统计数据为快报数，个别数据因四舍五入的原因，存在总计与分项合计不等的情况。</w:t>
      </w:r>
    </w:p>
    <w:p w14:paraId="223050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3"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 </w:t>
      </w:r>
    </w:p>
    <w:p w14:paraId="600DD1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82A1D"/>
    <w:rsid w:val="104E3FAC"/>
    <w:rsid w:val="17A76360"/>
    <w:rsid w:val="1C6161B8"/>
    <w:rsid w:val="21D87908"/>
    <w:rsid w:val="2321333F"/>
    <w:rsid w:val="2E1E3C41"/>
    <w:rsid w:val="2E436595"/>
    <w:rsid w:val="3816038F"/>
    <w:rsid w:val="44BC412D"/>
    <w:rsid w:val="45296715"/>
    <w:rsid w:val="5FC45B72"/>
    <w:rsid w:val="61A25574"/>
    <w:rsid w:val="620B0D0E"/>
    <w:rsid w:val="6E627E80"/>
    <w:rsid w:val="6F6F3BD8"/>
    <w:rsid w:val="7AFB5620"/>
    <w:rsid w:val="7C0D23A3"/>
    <w:rsid w:val="7E921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5610</Words>
  <Characters>6617</Characters>
  <Lines>0</Lines>
  <Paragraphs>0</Paragraphs>
  <TotalTime>0</TotalTime>
  <ScaleCrop>false</ScaleCrop>
  <LinksUpToDate>false</LinksUpToDate>
  <CharactersWithSpaces>6617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2025-02-10T07:36:00Z</dcterms:created>
  <dc:creator>Administrator</dc:creator>
  <cp:lastModifiedBy>吴奇勋</cp:lastModifiedBy>
  <dcterms:modified xsi:type="dcterms:W3CDTF">2026-08-05T05:53:09Z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81CF20AEB427499E8E83EFBD65B09384_12</vt:lpwstr>
  </property>
  <property fmtid="{D5CDD505-2E9C-101B-9397-08002B2CF9AE}" pid="4" name="KSOTemplateDocerSaveRecord">
    <vt:lpwstr>eyJoZGlkIjoiOTdjNjVlN2NkNTE5MGRmZGY0MjRkNTc2YjdiM2Y0MWMiLCJ1c2VySWQiOiIxNjU2NjkyMTU1In0=</vt:lpwstr>
  </property>
</Properties>
</file>