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黑体" w:hAnsi="黑体" w:eastAsia="黑体" w:cs="黑体"/>
          <w:i w:val="0"/>
          <w:iCs w:val="0"/>
          <w:caps w:val="0"/>
          <w:color w:val="000000"/>
          <w:spacing w:val="0"/>
          <w:kern w:val="0"/>
          <w:sz w:val="32"/>
          <w:szCs w:val="32"/>
          <w:bdr w:val="none" w:color="auto" w:sz="0" w:space="0"/>
          <w:lang w:val="en-US" w:eastAsia="zh-CN" w:bidi="ar"/>
        </w:rPr>
      </w:pPr>
      <w:bookmarkStart w:id="0" w:name="_GoBack"/>
      <w:r>
        <w:rPr>
          <w:rFonts w:hint="eastAsia" w:ascii="黑体" w:hAnsi="黑体" w:eastAsia="黑体" w:cs="黑体"/>
          <w:i w:val="0"/>
          <w:iCs w:val="0"/>
          <w:caps w:val="0"/>
          <w:color w:val="000000"/>
          <w:spacing w:val="0"/>
          <w:kern w:val="0"/>
          <w:sz w:val="32"/>
          <w:szCs w:val="32"/>
          <w:bdr w:val="none" w:color="auto" w:sz="0" w:space="0"/>
          <w:lang w:val="en-US" w:eastAsia="zh-CN" w:bidi="ar"/>
        </w:rPr>
        <w:t>太仓市市级政府定价管理的经营服务性收费目录清单(截至2022年10月31日)</w:t>
      </w:r>
    </w:p>
    <w:bookmarkEnd w:id="0"/>
    <w:tbl>
      <w:tblPr>
        <w:tblW w:w="15637" w:type="dxa"/>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Layout w:type="autofit"/>
        <w:tblCellMar>
          <w:top w:w="45" w:type="dxa"/>
          <w:left w:w="45" w:type="dxa"/>
          <w:bottom w:w="45" w:type="dxa"/>
          <w:right w:w="45" w:type="dxa"/>
        </w:tblCellMar>
      </w:tblPr>
      <w:tblGrid>
        <w:gridCol w:w="4161"/>
        <w:gridCol w:w="1309"/>
        <w:gridCol w:w="1449"/>
        <w:gridCol w:w="1465"/>
        <w:gridCol w:w="2790"/>
        <w:gridCol w:w="1387"/>
        <w:gridCol w:w="1701"/>
        <w:gridCol w:w="1375"/>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收费项目</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是否涉企</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是否行政审批前置</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是否涉</w:t>
            </w:r>
            <w:r>
              <w:rPr>
                <w:rFonts w:hint="eastAsia" w:ascii="宋体" w:hAnsi="宋体" w:eastAsia="宋体" w:cs="宋体"/>
                <w:i w:val="0"/>
                <w:iCs w:val="0"/>
                <w:caps w:val="0"/>
                <w:color w:val="000000"/>
                <w:spacing w:val="0"/>
                <w:kern w:val="0"/>
                <w:sz w:val="24"/>
                <w:szCs w:val="24"/>
                <w:lang w:val="en-US" w:eastAsia="zh-CN" w:bidi="ar"/>
              </w:rPr>
              <w:t>进出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环节</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收费文件（文号）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定价部门</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行业主管部门</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备注</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一、物业服务收费（部分）</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（一）前期物业公共服务费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太政规〔2015〕6号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发改、城管</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（二）住宅小区汽车停放收费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太政规〔2015〕6号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发改、城管</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二、机动车停放服务收费（部分）</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885"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（一）公共文化、交通、体育、教育等公共设施配套停车场，具有自然垄断经营特征的停车场收费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i w:val="0"/>
                <w:iCs w:val="0"/>
                <w:caps w:val="0"/>
                <w:color w:val="000000"/>
                <w:spacing w:val="0"/>
                <w:kern w:val="0"/>
                <w:sz w:val="24"/>
                <w:szCs w:val="24"/>
                <w:bdr w:val="none" w:color="auto" w:sz="0" w:space="0"/>
                <w:lang w:val="en-US" w:eastAsia="zh-CN" w:bidi="ar"/>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太政规〔2021〕3号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太发改价〔2021〕1号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885"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（二）国有资金包括政府财政性资金、国有及国有控股企业资金等投资建设的公共停车场收费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i w:val="0"/>
                <w:iCs w:val="0"/>
                <w:caps w:val="0"/>
                <w:color w:val="000000"/>
                <w:spacing w:val="0"/>
                <w:kern w:val="0"/>
                <w:sz w:val="24"/>
                <w:szCs w:val="24"/>
                <w:bdr w:val="none" w:color="auto" w:sz="0" w:space="0"/>
                <w:lang w:val="en-US" w:eastAsia="zh-CN" w:bidi="ar"/>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太政规〔2021〕3号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太发改价〔2021〕1号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256"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（三）公立医院停车</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i w:val="0"/>
                <w:iCs w:val="0"/>
                <w:caps w:val="0"/>
                <w:color w:val="000000"/>
                <w:spacing w:val="0"/>
                <w:kern w:val="0"/>
                <w:sz w:val="24"/>
                <w:szCs w:val="24"/>
                <w:bdr w:val="none" w:color="auto" w:sz="0" w:space="0"/>
                <w:lang w:val="en-US" w:eastAsia="zh-CN" w:bidi="ar"/>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太政规〔2021〕3号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太发改价〔2021〕1号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1185"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（四）因交通违法、交通事故、车辆故障和车辆违法运营等原因被依法扣押的机动车停放收费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i w:val="0"/>
                <w:iCs w:val="0"/>
                <w:caps w:val="0"/>
                <w:color w:val="000000"/>
                <w:spacing w:val="0"/>
                <w:kern w:val="0"/>
                <w:sz w:val="24"/>
                <w:szCs w:val="24"/>
                <w:bdr w:val="none" w:color="auto" w:sz="0" w:space="0"/>
                <w:lang w:val="en-US" w:eastAsia="zh-CN" w:bidi="ar"/>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太政规〔2021〕3号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太发改价〔2021〕1号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公安</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行政机关依法扣押车辆，在法定处理期限内的停车费及车辆的保管费用，由实施扣押措施的行政机关承担。</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三、环境卫生服务收费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FF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256"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环境卫生有偿服务费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FF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1、垃圾清运费（生活垃圾、普通废弃物）</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太政发〔2009〕74号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256"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2、粪便清运处理费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太政发〔2009〕74号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3、受单位委托冲洗的厕所保洁服务费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太政发〔2009〕74号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4、住宅装修垃圾清运费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太政发〔2009〕74号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5、个体工商户店面垃圾清运费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太政发〔2009〕74号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城管</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495"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四、生猪等牲畜、禽类定点屠宰（加工）服务收费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256"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生猪屠宰加工费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太价复〔2012〕5号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农业农村</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FF"/>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495"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五、有线数字电视基本收视维护费及相关收费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有线电视工程配套费用</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01"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新建商品住宅有线电视建设配套费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太价复〔2011〕第13号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文体广旅</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690"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六、公用事业经营单位提供的具有行业或技术垄断的且与主营业务相关的服务收费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256"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（一）供水服务收费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495"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新建小区生活饮用水二次供水管理运行维护费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太价复〔2017〕1号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供水</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256"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（二）供气服务收费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600" w:hRule="atLeast"/>
          <w:jc w:val="center"/>
        </w:trPr>
        <w:tc>
          <w:tcPr>
            <w:tcW w:w="416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民用燃气工程安装费</w:t>
            </w:r>
          </w:p>
        </w:tc>
        <w:tc>
          <w:tcPr>
            <w:tcW w:w="130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是</w:t>
            </w:r>
          </w:p>
        </w:tc>
        <w:tc>
          <w:tcPr>
            <w:tcW w:w="1449"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146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否</w:t>
            </w:r>
          </w:p>
        </w:tc>
        <w:tc>
          <w:tcPr>
            <w:tcW w:w="2790"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太发改价〔2020〕7号</w:t>
            </w:r>
          </w:p>
        </w:tc>
        <w:tc>
          <w:tcPr>
            <w:tcW w:w="1387"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发改</w:t>
            </w:r>
          </w:p>
        </w:tc>
        <w:tc>
          <w:tcPr>
            <w:tcW w:w="1701"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燃气</w:t>
            </w:r>
          </w:p>
        </w:tc>
        <w:tc>
          <w:tcPr>
            <w:tcW w:w="1375" w:type="dxa"/>
            <w:tcBorders>
              <w:top w:val="single" w:color="000000" w:sz="2" w:space="0"/>
              <w:left w:val="single" w:color="000000" w:sz="2"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新文件生效前已签订合同的仍按原政策执行</w:t>
            </w: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注：1、部分教育、养老和殡葬服务收费按照政府定价的经营服务性收费政策管理；</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法律、行政法规、地方定价目录明确规定实行政府定价管理的经营服务性收费项目，自动进入本清单，法律、行政法规明确规定实行市场调节价，或不再列入地方定价目录的经营服务性收费项目，自动退出本清单。</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7A086318"/>
    <w:rsid w:val="7A08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2022-11-08T08:28:00Z</dcterms:created>
  <dc:creator>fight for myself</dc:creator>
  <cp:lastModifiedBy>fight for myself</cp:lastModifiedBy>
  <dcterms:modified xsi:type="dcterms:W3CDTF">2022-11-08T08:54:13Z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73C4A8B386344B999C7D899F490A193B</vt:lpwstr>
  </property>
</Properties>
</file>