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B87D15">
      <w:pPr>
        <w:overflowPunct w:val="0"/>
        <w:adjustRightInd w:val="0"/>
        <w:spacing w:line="600" w:lineRule="exact"/>
        <w:jc w:val="both"/>
        <w:rPr>
          <w:rFonts w:hint="default" w:ascii="Times New Roman" w:hAnsi="Times New Roman" w:eastAsia="Arial Unicode MS" w:cs="Times New Roman"/>
          <w:sz w:val="44"/>
          <w:szCs w:val="44"/>
        </w:rPr>
      </w:pPr>
      <w:bookmarkStart w:id="0" w:name="heading_0"/>
    </w:p>
    <w:p w14:paraId="2EB57566">
      <w:pPr>
        <w:overflowPunct w:val="0"/>
        <w:adjustRightInd w:val="0"/>
        <w:spacing w:line="600" w:lineRule="exact"/>
        <w:jc w:val="both"/>
        <w:rPr>
          <w:rFonts w:hint="default" w:ascii="Times New Roman" w:hAnsi="Times New Roman" w:eastAsia="Arial Unicode MS" w:cs="Times New Roman"/>
          <w:sz w:val="48"/>
          <w:szCs w:val="48"/>
        </w:rPr>
      </w:pPr>
    </w:p>
    <w:p w14:paraId="2A15544A">
      <w:pPr>
        <w:overflowPunct w:val="0"/>
        <w:adjustRightInd w:val="0"/>
        <w:spacing w:line="600" w:lineRule="exact"/>
        <w:jc w:val="both"/>
        <w:rPr>
          <w:rFonts w:hint="default" w:ascii="Times New Roman" w:hAnsi="Times New Roman" w:eastAsia="Arial Unicode MS" w:cs="Times New Roman"/>
          <w:sz w:val="48"/>
          <w:szCs w:val="48"/>
        </w:rPr>
      </w:pPr>
    </w:p>
    <w:p w14:paraId="6DF7E740">
      <w:pPr>
        <w:overflowPunct w:val="0"/>
        <w:adjustRightInd w:val="0"/>
        <w:spacing w:line="600" w:lineRule="exact"/>
        <w:jc w:val="center"/>
        <w:rPr>
          <w:rFonts w:hint="default" w:ascii="Times New Roman" w:hAnsi="Times New Roman" w:eastAsia="Arial Unicode MS" w:cs="Times New Roman"/>
          <w:sz w:val="48"/>
          <w:szCs w:val="48"/>
        </w:rPr>
      </w:pPr>
    </w:p>
    <w:p w14:paraId="69871EA7">
      <w:pPr>
        <w:overflowPunct w:val="0"/>
        <w:adjustRightInd w:val="0"/>
        <w:spacing w:before="156" w:beforeLines="50" w:after="156" w:afterLines="50" w:line="600" w:lineRule="exact"/>
        <w:jc w:val="center"/>
        <w:rPr>
          <w:rFonts w:hint="default" w:ascii="Times New Roman" w:hAnsi="Times New Roman" w:eastAsia="方正公文小标宋" w:cs="Times New Roman"/>
          <w:sz w:val="48"/>
          <w:szCs w:val="48"/>
        </w:rPr>
      </w:pPr>
      <w:r>
        <w:rPr>
          <w:rFonts w:hint="default" w:ascii="Times New Roman" w:hAnsi="Times New Roman" w:eastAsia="方正公文小标宋" w:cs="Times New Roman"/>
          <w:sz w:val="48"/>
          <w:szCs w:val="48"/>
        </w:rPr>
        <w:t>昆山市国民经济和社会发展</w:t>
      </w:r>
    </w:p>
    <w:p w14:paraId="66747E6B">
      <w:pPr>
        <w:overflowPunct w:val="0"/>
        <w:adjustRightInd w:val="0"/>
        <w:spacing w:before="156" w:beforeLines="50" w:after="156" w:afterLines="50" w:line="600" w:lineRule="exact"/>
        <w:jc w:val="center"/>
        <w:rPr>
          <w:rFonts w:hint="default" w:ascii="Times New Roman" w:hAnsi="Times New Roman" w:eastAsia="方正公文小标宋" w:cs="Times New Roman"/>
          <w:sz w:val="44"/>
          <w:szCs w:val="44"/>
        </w:rPr>
      </w:pPr>
      <w:r>
        <w:rPr>
          <w:rFonts w:hint="default" w:ascii="Times New Roman" w:hAnsi="Times New Roman" w:eastAsia="方正公文小标宋" w:cs="Times New Roman"/>
          <w:sz w:val="48"/>
          <w:szCs w:val="48"/>
        </w:rPr>
        <w:t>第十五个五年规划纲要</w:t>
      </w:r>
    </w:p>
    <w:p w14:paraId="5BEC98D7">
      <w:pPr>
        <w:overflowPunct w:val="0"/>
        <w:autoSpaceDE w:val="0"/>
        <w:autoSpaceDN w:val="0"/>
        <w:spacing w:after="0" w:line="600" w:lineRule="exact"/>
        <w:jc w:val="center"/>
        <w:textAlignment w:val="center"/>
        <w:rPr>
          <w:rFonts w:hint="default" w:ascii="Times New Roman" w:hAnsi="Times New Roman" w:eastAsia="楷体_GB2312" w:cs="Times New Roman"/>
          <w:sz w:val="36"/>
          <w:szCs w:val="36"/>
        </w:rPr>
      </w:pPr>
    </w:p>
    <w:p w14:paraId="3D1CF600">
      <w:pPr>
        <w:overflowPunct w:val="0"/>
        <w:adjustRightInd w:val="0"/>
        <w:spacing w:line="600" w:lineRule="exact"/>
        <w:jc w:val="center"/>
        <w:rPr>
          <w:rFonts w:hint="default" w:ascii="Times New Roman" w:hAnsi="Times New Roman" w:eastAsia="楷体_GB2312" w:cs="Times New Roman"/>
          <w:sz w:val="36"/>
          <w:szCs w:val="36"/>
        </w:rPr>
      </w:pPr>
    </w:p>
    <w:p w14:paraId="5094BCB5">
      <w:pPr>
        <w:keepNext w:val="0"/>
        <w:keepLines w:val="0"/>
        <w:pageBreakBefore w:val="0"/>
        <w:widowControl w:val="0"/>
        <w:kinsoku/>
        <w:wordWrap/>
        <w:overflowPunct w:val="0"/>
        <w:topLinePunct w:val="0"/>
        <w:autoSpaceDE/>
        <w:autoSpaceDN/>
        <w:bidi w:val="0"/>
        <w:adjustRightInd w:val="0"/>
        <w:snapToGrid/>
        <w:spacing w:line="500" w:lineRule="exact"/>
        <w:jc w:val="center"/>
        <w:textAlignment w:val="auto"/>
        <w:rPr>
          <w:rFonts w:hint="default" w:ascii="Times New Roman" w:hAnsi="Times New Roman" w:eastAsia="楷体" w:cs="Times New Roman"/>
          <w:sz w:val="36"/>
          <w:szCs w:val="36"/>
          <w:lang w:val="en-US" w:eastAsia="zh-CN"/>
        </w:rPr>
      </w:pPr>
      <w:r>
        <w:rPr>
          <w:rFonts w:hint="default" w:ascii="Times New Roman" w:hAnsi="Times New Roman" w:eastAsia="楷体" w:cs="Times New Roman"/>
          <w:sz w:val="36"/>
          <w:szCs w:val="36"/>
        </w:rPr>
        <w:t>（</w:t>
      </w:r>
      <w:r>
        <w:rPr>
          <w:rFonts w:hint="default" w:ascii="Times New Roman" w:hAnsi="Times New Roman" w:eastAsia="楷体" w:cs="Times New Roman"/>
          <w:sz w:val="36"/>
          <w:szCs w:val="36"/>
          <w:lang w:val="en-US" w:eastAsia="zh-CN"/>
        </w:rPr>
        <w:t>2026年1月21日昆山市第十八届</w:t>
      </w:r>
    </w:p>
    <w:p w14:paraId="74ED47F8">
      <w:pPr>
        <w:keepNext w:val="0"/>
        <w:keepLines w:val="0"/>
        <w:pageBreakBefore w:val="0"/>
        <w:widowControl w:val="0"/>
        <w:kinsoku/>
        <w:wordWrap/>
        <w:overflowPunct w:val="0"/>
        <w:topLinePunct w:val="0"/>
        <w:autoSpaceDE/>
        <w:autoSpaceDN/>
        <w:bidi w:val="0"/>
        <w:adjustRightInd w:val="0"/>
        <w:snapToGrid/>
        <w:spacing w:line="500" w:lineRule="exact"/>
        <w:jc w:val="center"/>
        <w:textAlignment w:val="auto"/>
        <w:rPr>
          <w:rFonts w:hint="default" w:ascii="Times New Roman" w:hAnsi="Times New Roman" w:eastAsia="楷体" w:cs="Times New Roman"/>
          <w:sz w:val="36"/>
          <w:szCs w:val="36"/>
        </w:rPr>
      </w:pPr>
      <w:r>
        <w:rPr>
          <w:rFonts w:hint="default" w:ascii="Times New Roman" w:hAnsi="Times New Roman" w:eastAsia="楷体" w:cs="Times New Roman"/>
          <w:sz w:val="36"/>
          <w:szCs w:val="36"/>
          <w:lang w:val="en-US" w:eastAsia="zh-CN"/>
        </w:rPr>
        <w:t>人民代表大会第五次会议审议通过</w:t>
      </w:r>
      <w:r>
        <w:rPr>
          <w:rFonts w:hint="default" w:ascii="Times New Roman" w:hAnsi="Times New Roman" w:eastAsia="楷体" w:cs="Times New Roman"/>
          <w:sz w:val="36"/>
          <w:szCs w:val="36"/>
        </w:rPr>
        <w:t>）</w:t>
      </w:r>
    </w:p>
    <w:p w14:paraId="5F7F3F78">
      <w:pPr>
        <w:overflowPunct w:val="0"/>
        <w:adjustRightInd w:val="0"/>
        <w:spacing w:line="600" w:lineRule="exact"/>
        <w:ind w:firstLine="640"/>
        <w:jc w:val="center"/>
        <w:rPr>
          <w:rFonts w:hint="default" w:ascii="Times New Roman" w:hAnsi="Times New Roman" w:cs="Times New Roman"/>
          <w:sz w:val="36"/>
          <w:szCs w:val="36"/>
        </w:rPr>
      </w:pPr>
    </w:p>
    <w:p w14:paraId="58FB4C97">
      <w:pPr>
        <w:overflowPunct w:val="0"/>
        <w:adjustRightInd w:val="0"/>
        <w:spacing w:line="600" w:lineRule="exact"/>
        <w:ind w:firstLine="640"/>
        <w:jc w:val="center"/>
        <w:rPr>
          <w:rFonts w:hint="default" w:ascii="Times New Roman" w:hAnsi="Times New Roman" w:cs="Times New Roman"/>
          <w:sz w:val="36"/>
          <w:szCs w:val="36"/>
        </w:rPr>
      </w:pPr>
    </w:p>
    <w:p w14:paraId="5F06BFEE">
      <w:pPr>
        <w:overflowPunct w:val="0"/>
        <w:adjustRightInd w:val="0"/>
        <w:spacing w:line="600" w:lineRule="exact"/>
        <w:jc w:val="center"/>
        <w:rPr>
          <w:rFonts w:hint="default" w:ascii="Times New Roman" w:hAnsi="Times New Roman" w:cs="Times New Roman"/>
          <w:sz w:val="36"/>
          <w:szCs w:val="36"/>
        </w:rPr>
      </w:pPr>
    </w:p>
    <w:p w14:paraId="22CE612E">
      <w:pPr>
        <w:overflowPunct w:val="0"/>
        <w:adjustRightInd w:val="0"/>
        <w:spacing w:line="600" w:lineRule="exact"/>
        <w:ind w:firstLine="640"/>
        <w:jc w:val="center"/>
        <w:rPr>
          <w:rFonts w:hint="default" w:ascii="Times New Roman" w:hAnsi="Times New Roman" w:cs="Times New Roman"/>
          <w:sz w:val="36"/>
          <w:szCs w:val="36"/>
        </w:rPr>
      </w:pPr>
    </w:p>
    <w:bookmarkEnd w:id="0"/>
    <w:p w14:paraId="5B16A14A">
      <w:pPr>
        <w:keepNext/>
        <w:keepLines/>
        <w:widowControl/>
        <w:overflowPunct w:val="0"/>
        <w:adjustRightInd w:val="0"/>
        <w:spacing w:after="0" w:line="600" w:lineRule="exact"/>
        <w:jc w:val="center"/>
        <w:rPr>
          <w:rFonts w:hint="default" w:ascii="Times New Roman" w:hAnsi="Times New Roman" w:eastAsia="楷体" w:cs="Times New Roman"/>
          <w:sz w:val="36"/>
          <w:szCs w:val="36"/>
        </w:rPr>
      </w:pPr>
      <w:bookmarkStart w:id="1" w:name="heading_1"/>
    </w:p>
    <w:p w14:paraId="3E345701">
      <w:pPr>
        <w:pStyle w:val="14"/>
        <w:tabs>
          <w:tab w:val="right" w:leader="dot" w:pos="8296"/>
        </w:tabs>
        <w:overflowPunct w:val="0"/>
        <w:spacing w:line="600" w:lineRule="exact"/>
        <w:ind w:firstLine="734"/>
        <w:jc w:val="both"/>
        <w:rPr>
          <w:rFonts w:hint="default" w:ascii="Times New Roman" w:hAnsi="Times New Roman" w:eastAsia="宋体" w:cs="Times New Roman"/>
          <w:b w:val="0"/>
          <w:sz w:val="21"/>
        </w:rPr>
        <w:sectPr>
          <w:head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bookmarkEnd w:id="1"/>
    <w:p w14:paraId="5F8AC149">
      <w:pPr>
        <w:spacing w:after="0" w:line="600" w:lineRule="exact"/>
        <w:ind w:firstLine="0" w:firstLineChars="0"/>
        <w:jc w:val="center"/>
        <w:rPr>
          <w:rFonts w:hint="default" w:ascii="Times New Roman" w:hAnsi="Times New Roman" w:eastAsia="方正小标宋简体" w:cs="Times New Roman"/>
          <w:sz w:val="44"/>
          <w:szCs w:val="44"/>
        </w:rPr>
      </w:pPr>
      <w:bookmarkStart w:id="2" w:name="_Toc218010900"/>
      <w:bookmarkStart w:id="3" w:name="_Toc9032"/>
      <w:bookmarkStart w:id="4" w:name="_Toc9830"/>
      <w:bookmarkStart w:id="5" w:name="_Toc14284"/>
      <w:bookmarkStart w:id="6" w:name="_Toc838"/>
      <w:bookmarkStart w:id="7" w:name="_Toc2254"/>
      <w:bookmarkStart w:id="8" w:name="_Toc8489"/>
      <w:bookmarkStart w:id="9" w:name="_Toc14842"/>
      <w:bookmarkStart w:id="10" w:name="_Toc32380"/>
      <w:bookmarkStart w:id="11" w:name="_Toc13960"/>
      <w:bookmarkStart w:id="12" w:name="_Toc7857"/>
      <w:bookmarkStart w:id="13" w:name="_Toc18059"/>
      <w:bookmarkStart w:id="14" w:name="_Toc456"/>
      <w:bookmarkStart w:id="15" w:name="_Toc11863"/>
      <w:bookmarkStart w:id="16" w:name="_Toc18305"/>
      <w:bookmarkStart w:id="17" w:name="_Toc26003"/>
      <w:bookmarkStart w:id="18" w:name="_Toc20032"/>
      <w:bookmarkStart w:id="19" w:name="_Toc30440"/>
      <w:bookmarkStart w:id="20" w:name="_Toc23088"/>
      <w:bookmarkStart w:id="21" w:name="_Toc31080"/>
      <w:bookmarkStart w:id="22" w:name="_Toc25128"/>
      <w:bookmarkStart w:id="23" w:name="_Toc21290"/>
      <w:bookmarkStart w:id="24" w:name="_Toc31209"/>
      <w:bookmarkStart w:id="25" w:name="_Toc15522"/>
      <w:bookmarkStart w:id="26" w:name="_Toc13939"/>
      <w:bookmarkStart w:id="27" w:name="_Toc11248"/>
      <w:bookmarkStart w:id="28" w:name="_Toc9288"/>
      <w:bookmarkStart w:id="29" w:name="_Toc12990"/>
      <w:bookmarkStart w:id="30" w:name="_Toc13617"/>
      <w:bookmarkStart w:id="31" w:name="_Toc29245"/>
      <w:bookmarkStart w:id="32" w:name="_Toc25343"/>
      <w:bookmarkStart w:id="33" w:name="_Toc24177"/>
      <w:bookmarkStart w:id="34" w:name="_Toc526"/>
      <w:bookmarkStart w:id="35" w:name="_Toc3081"/>
      <w:bookmarkStart w:id="36" w:name="_Toc22302"/>
      <w:bookmarkStart w:id="37" w:name="_Toc26706"/>
      <w:bookmarkStart w:id="38" w:name="_Toc28151"/>
      <w:bookmarkStart w:id="39" w:name="_Toc1616"/>
      <w:bookmarkStart w:id="40" w:name="_Toc26462"/>
      <w:bookmarkStart w:id="41" w:name="_Toc5257"/>
      <w:bookmarkStart w:id="42" w:name="_Toc12139"/>
      <w:bookmarkStart w:id="43" w:name="_Toc6879"/>
      <w:bookmarkStart w:id="44" w:name="_Toc6742"/>
      <w:bookmarkStart w:id="45" w:name="_Toc21038"/>
      <w:bookmarkStart w:id="46" w:name="_Toc11219"/>
      <w:bookmarkStart w:id="47" w:name="_Toc9838"/>
      <w:bookmarkStart w:id="48" w:name="_Toc15140"/>
    </w:p>
    <w:p w14:paraId="6C51775A">
      <w:pPr>
        <w:spacing w:after="0" w:line="600" w:lineRule="exact"/>
        <w:ind w:firstLine="0" w:firstLineChars="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昆山市第十八届人民代表大会第五次会议关于昆山市国民经济和社会发展第十五个五年规划纲要的决议</w:t>
      </w:r>
    </w:p>
    <w:p w14:paraId="34B3AF0C">
      <w:pPr>
        <w:spacing w:after="0" w:line="600" w:lineRule="exact"/>
        <w:ind w:firstLine="0" w:firstLineChars="0"/>
        <w:jc w:val="both"/>
        <w:rPr>
          <w:rFonts w:hint="default" w:ascii="Times New Roman" w:hAnsi="Times New Roman" w:eastAsia="仿宋_GB2312" w:cs="Times New Roman"/>
          <w:sz w:val="32"/>
          <w:szCs w:val="22"/>
        </w:rPr>
      </w:pPr>
    </w:p>
    <w:p w14:paraId="0C7C49BF">
      <w:pPr>
        <w:spacing w:after="0" w:line="600" w:lineRule="exact"/>
        <w:ind w:firstLine="0" w:firstLineChars="0"/>
        <w:jc w:val="center"/>
        <w:rPr>
          <w:rFonts w:hint="default" w:ascii="Times New Roman" w:hAnsi="Times New Roman" w:eastAsia="仿宋_GB2312" w:cs="Times New Roman"/>
          <w:sz w:val="32"/>
          <w:szCs w:val="22"/>
          <w:lang w:eastAsia="zh-CN"/>
        </w:rPr>
      </w:pPr>
      <w:r>
        <w:rPr>
          <w:rFonts w:hint="default" w:ascii="Times New Roman" w:hAnsi="Times New Roman" w:eastAsia="仿宋_GB2312" w:cs="Times New Roman"/>
          <w:sz w:val="32"/>
          <w:szCs w:val="22"/>
          <w:lang w:eastAsia="zh-CN"/>
        </w:rPr>
        <w:t>（</w:t>
      </w:r>
      <w:r>
        <w:rPr>
          <w:rFonts w:hint="default" w:ascii="Times New Roman" w:hAnsi="Times New Roman" w:eastAsia="仿宋_GB2312" w:cs="Times New Roman"/>
          <w:sz w:val="32"/>
          <w:szCs w:val="22"/>
        </w:rPr>
        <w:t>2026年1月21日市十八届人大五次会议通过</w:t>
      </w:r>
      <w:r>
        <w:rPr>
          <w:rFonts w:hint="default" w:ascii="Times New Roman" w:hAnsi="Times New Roman" w:eastAsia="仿宋_GB2312" w:cs="Times New Roman"/>
          <w:sz w:val="32"/>
          <w:szCs w:val="22"/>
          <w:lang w:eastAsia="zh-CN"/>
        </w:rPr>
        <w:t>）</w:t>
      </w:r>
    </w:p>
    <w:p w14:paraId="603A4491">
      <w:pPr>
        <w:spacing w:after="0" w:line="600" w:lineRule="exact"/>
        <w:ind w:firstLine="0" w:firstLineChars="0"/>
        <w:jc w:val="both"/>
        <w:rPr>
          <w:rFonts w:hint="default" w:ascii="Times New Roman" w:hAnsi="Times New Roman" w:eastAsia="仿宋_GB2312" w:cs="Times New Roman"/>
          <w:sz w:val="32"/>
          <w:szCs w:val="22"/>
        </w:rPr>
      </w:pPr>
    </w:p>
    <w:p w14:paraId="1663BC21">
      <w:pPr>
        <w:spacing w:after="0" w:line="600" w:lineRule="exact"/>
        <w:ind w:firstLine="640" w:firstLineChars="200"/>
        <w:jc w:val="both"/>
        <w:rPr>
          <w:rFonts w:hint="default" w:ascii="Times New Roman" w:hAnsi="Times New Roman" w:eastAsia="仿宋_GB2312" w:cs="Times New Roman"/>
          <w:sz w:val="32"/>
          <w:szCs w:val="22"/>
        </w:rPr>
      </w:pPr>
      <w:r>
        <w:rPr>
          <w:rFonts w:hint="default" w:ascii="Times New Roman" w:hAnsi="Times New Roman" w:eastAsia="仿宋_GB2312" w:cs="Times New Roman"/>
          <w:sz w:val="32"/>
          <w:szCs w:val="22"/>
        </w:rPr>
        <w:t>昆山市第十八届人民代表大会第五次会议审查了市人民政府提交的</w:t>
      </w:r>
      <w:r>
        <w:rPr>
          <w:rFonts w:hint="default" w:ascii="Times New Roman" w:hAnsi="Times New Roman" w:eastAsia="仿宋_GB2312" w:cs="Times New Roman"/>
          <w:sz w:val="32"/>
          <w:szCs w:val="22"/>
          <w:lang w:eastAsia="zh-CN"/>
        </w:rPr>
        <w:t>《</w:t>
      </w:r>
      <w:r>
        <w:rPr>
          <w:rFonts w:hint="default" w:ascii="Times New Roman" w:hAnsi="Times New Roman" w:eastAsia="仿宋_GB2312" w:cs="Times New Roman"/>
          <w:sz w:val="32"/>
          <w:szCs w:val="22"/>
        </w:rPr>
        <w:t>昆山市国民经济和社会发展第十五个五年规划纲要草案》。会议同意昆山市第十八届人民代表大会财政经济委员会的审查结果报告，决定批准昆山市国民经济和社会发展第十五个五年规划纲要。</w:t>
      </w:r>
    </w:p>
    <w:p w14:paraId="29A3D2D6">
      <w:pPr>
        <w:rPr>
          <w:rFonts w:hint="default" w:ascii="Times New Roman" w:hAnsi="Times New Roman" w:eastAsia="黑体" w:cs="Times New Roman"/>
          <w:sz w:val="32"/>
          <w:szCs w:val="32"/>
        </w:rPr>
      </w:pPr>
      <w:r>
        <w:rPr>
          <w:rFonts w:hint="default" w:ascii="Times New Roman" w:hAnsi="Times New Roman" w:eastAsia="黑体" w:cs="Times New Roman"/>
          <w:sz w:val="32"/>
          <w:szCs w:val="32"/>
        </w:rPr>
        <w:br w:type="page"/>
      </w:r>
    </w:p>
    <w:p w14:paraId="468BCD2D">
      <w:pPr>
        <w:widowControl/>
        <w:overflowPunct w:val="0"/>
        <w:adjustRightInd w:val="0"/>
        <w:spacing w:after="156" w:afterLines="50" w:line="400" w:lineRule="exact"/>
        <w:jc w:val="cente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序 言</w:t>
      </w:r>
      <w:bookmarkEnd w:id="2"/>
      <w:bookmarkEnd w:id="3"/>
    </w:p>
    <w:p w14:paraId="78C5B442">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五五”时期，是我国基本实现社会主义现代化夯实基础、全面发力的关键时期，是昆山全面建成现代化Ⅱ型大城市、基本实现社会主义现代化的攻坚突破期。回顾“十四五”时期，昆山综合实力连续21年位居全国百强县市首位，交出了一份“规模领先、质效跃升”答卷。展望“十五五”时期，昆山既面临转型升级的战略机遇，也面临深刻复杂的风险挑战，要积极识变应变求变，跳出县域思维，巩固发展优势、提高发展质效，全力以赴把习近平总书记“勾画现代化目标”殷殷嘱托转化为“强富美高”新昆山的现实图景。</w:t>
      </w:r>
    </w:p>
    <w:p w14:paraId="7C06359E">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napToGrid/>
          <w:kern w:val="2"/>
          <w:sz w:val="32"/>
          <w:szCs w:val="32"/>
        </w:rPr>
        <w:t>根据《中共中央关于制定国民经济和社会发展第十五个五年规划的建议》《中共江苏省委关于制定江苏省国民经济和社会发展第十五个五年规划的建议》《中共苏州市委关于制定苏州市国民经济和社会发展第十五个五年规划的建议》，</w:t>
      </w:r>
      <w:r>
        <w:rPr>
          <w:rFonts w:hint="default" w:ascii="Times New Roman" w:hAnsi="Times New Roman" w:eastAsia="仿宋_GB2312" w:cs="Times New Roman"/>
          <w:sz w:val="32"/>
          <w:szCs w:val="32"/>
        </w:rPr>
        <w:t>按照《中共昆山市委关于制定昆山市国民经济和社会发展第十五个五年规划的建议》，编制《昆山市国民经济和社会发展第十五个五年规划纲要》，系统阐明“十五五”时期的发展思路、主要目标、重点任务和政策举措，是政府履职尽责的重要依据，是全市人民共同奋斗的行动纲领。</w:t>
      </w:r>
    </w:p>
    <w:p w14:paraId="52B7F70A">
      <w:pPr>
        <w:pStyle w:val="14"/>
        <w:tabs>
          <w:tab w:val="right" w:leader="dot" w:pos="8296"/>
        </w:tabs>
        <w:overflowPunct w:val="0"/>
        <w:spacing w:after="156" w:afterLines="50" w:line="480" w:lineRule="exact"/>
        <w:jc w:val="center"/>
        <w:rPr>
          <w:rFonts w:hint="default" w:ascii="Times New Roman" w:hAnsi="Times New Roman" w:eastAsia="Arial Unicode MS" w:cs="Times New Roman"/>
          <w:bCs/>
          <w:sz w:val="36"/>
          <w:szCs w:val="36"/>
        </w:rPr>
        <w:sectPr>
          <w:headerReference r:id="rId6" w:type="default"/>
          <w:foot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fmt="upperRoman" w:start="1"/>
          <w:cols w:space="425" w:num="1"/>
          <w:docGrid w:type="lines" w:linePitch="312" w:charSpace="0"/>
        </w:sectPr>
      </w:pPr>
    </w:p>
    <w:p w14:paraId="768F72DA">
      <w:pPr>
        <w:pStyle w:val="14"/>
        <w:tabs>
          <w:tab w:val="right" w:leader="dot" w:pos="8296"/>
        </w:tabs>
        <w:overflowPunct w:val="0"/>
        <w:spacing w:after="156" w:afterLines="50" w:line="480" w:lineRule="exact"/>
        <w:jc w:val="center"/>
        <w:rPr>
          <w:rFonts w:hint="default" w:ascii="Times New Roman" w:hAnsi="Times New Roman" w:cs="Times New Roman"/>
          <w:bCs/>
          <w:sz w:val="36"/>
          <w:szCs w:val="36"/>
        </w:rPr>
      </w:pPr>
      <w:r>
        <w:rPr>
          <w:rFonts w:hint="default" w:ascii="Times New Roman" w:hAnsi="Times New Roman" w:eastAsia="Arial Unicode MS" w:cs="Times New Roman"/>
          <w:bCs/>
          <w:sz w:val="36"/>
          <w:szCs w:val="36"/>
        </w:rPr>
        <w:t>目 录</w:t>
      </w:r>
    </w:p>
    <w:p w14:paraId="710E2CEB">
      <w:pPr>
        <w:pStyle w:val="14"/>
        <w:tabs>
          <w:tab w:val="right" w:leader="dot" w:pos="8306"/>
        </w:tabs>
        <w:rPr>
          <w:rFonts w:hint="default" w:ascii="Times New Roman" w:hAnsi="Times New Roman" w:cs="Times New Roman"/>
        </w:rPr>
      </w:pPr>
      <w:r>
        <w:rPr>
          <w:rFonts w:hint="default" w:ascii="Times New Roman" w:hAnsi="Times New Roman" w:cs="Times New Roman"/>
          <w:b w:val="0"/>
          <w:sz w:val="30"/>
          <w:szCs w:val="30"/>
        </w:rPr>
        <w:fldChar w:fldCharType="begin"/>
      </w:r>
      <w:r>
        <w:rPr>
          <w:rFonts w:hint="default" w:ascii="Times New Roman" w:hAnsi="Times New Roman" w:cs="Times New Roman"/>
          <w:b w:val="0"/>
          <w:sz w:val="30"/>
          <w:szCs w:val="30"/>
        </w:rPr>
        <w:instrText xml:space="preserve">TOC \o "1-3" \h \u </w:instrText>
      </w:r>
      <w:r>
        <w:rPr>
          <w:rFonts w:hint="default" w:ascii="Times New Roman" w:hAnsi="Times New Roman" w:cs="Times New Roman"/>
          <w:b w:val="0"/>
          <w:sz w:val="30"/>
          <w:szCs w:val="30"/>
        </w:rPr>
        <w:fldChar w:fldCharType="separate"/>
      </w: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_Toc23445 </w:instrText>
      </w:r>
      <w:r>
        <w:rPr>
          <w:rFonts w:hint="default" w:ascii="Times New Roman" w:hAnsi="Times New Roman" w:cs="Times New Roman"/>
          <w:bCs w:val="0"/>
          <w:szCs w:val="30"/>
        </w:rPr>
        <w:fldChar w:fldCharType="separate"/>
      </w:r>
      <w:r>
        <w:rPr>
          <w:rFonts w:hint="default" w:ascii="Times New Roman" w:hAnsi="Times New Roman" w:eastAsia="方正大标宋简体" w:cs="Times New Roman"/>
          <w:bCs w:val="0"/>
          <w:szCs w:val="36"/>
        </w:rPr>
        <w:t>第一篇 谱写中国式现代化昆山新篇章</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_Toc23445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3EB3147C">
      <w:pPr>
        <w:pStyle w:val="16"/>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_Toc8212 </w:instrText>
      </w:r>
      <w:r>
        <w:rPr>
          <w:rFonts w:hint="default" w:ascii="Times New Roman" w:hAnsi="Times New Roman" w:cs="Times New Roman"/>
          <w:bCs w:val="0"/>
          <w:szCs w:val="30"/>
        </w:rPr>
        <w:fldChar w:fldCharType="separate"/>
      </w:r>
      <w:r>
        <w:rPr>
          <w:rFonts w:hint="default" w:ascii="Times New Roman" w:hAnsi="Times New Roman" w:eastAsia="黑体" w:cs="Times New Roman"/>
          <w:szCs w:val="32"/>
        </w:rPr>
        <w:t>第一章 中国式现代化昆山新实践迈出新的坚实步伐</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_Toc8212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0742C3F7">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_Toc30151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第一节 发展基础</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_Toc30151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03ABF769">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_Toc30604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第二节 发展环境</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_Toc30604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3918A07A">
      <w:pPr>
        <w:pStyle w:val="16"/>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_Toc25681 </w:instrText>
      </w:r>
      <w:r>
        <w:rPr>
          <w:rFonts w:hint="default" w:ascii="Times New Roman" w:hAnsi="Times New Roman" w:cs="Times New Roman"/>
          <w:bCs w:val="0"/>
          <w:szCs w:val="30"/>
        </w:rPr>
        <w:fldChar w:fldCharType="separate"/>
      </w:r>
      <w:r>
        <w:rPr>
          <w:rFonts w:hint="default" w:ascii="Times New Roman" w:hAnsi="Times New Roman" w:eastAsia="黑体" w:cs="Times New Roman"/>
          <w:szCs w:val="32"/>
        </w:rPr>
        <w:t>第二章 奋力将“勾画现代化目标”嘱托转化为现实图景</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_Toc25681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7AA3C455">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_Toc24723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第一节 指导思想</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_Toc24723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0E43ECC6">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_Toc11336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第二节 功能定位</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_Toc11336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3BAA7001">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_Toc10238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第三节 路径方向</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_Toc10238 </w:instrText>
      </w:r>
      <w:r>
        <w:rPr>
          <w:rFonts w:hint="default" w:ascii="Times New Roman" w:hAnsi="Times New Roman" w:cs="Times New Roman"/>
        </w:rPr>
        <w:fldChar w:fldCharType="separate"/>
      </w:r>
      <w:r>
        <w:rPr>
          <w:rFonts w:hint="default" w:ascii="Times New Roman" w:hAnsi="Times New Roman" w:cs="Times New Roman"/>
        </w:rPr>
        <w:t>11</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4F004AB0">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_Toc25419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第四节 发展目标</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_Toc25419 </w:instrText>
      </w:r>
      <w:r>
        <w:rPr>
          <w:rFonts w:hint="default" w:ascii="Times New Roman" w:hAnsi="Times New Roman" w:cs="Times New Roman"/>
        </w:rPr>
        <w:fldChar w:fldCharType="separate"/>
      </w:r>
      <w:r>
        <w:rPr>
          <w:rFonts w:hint="default" w:ascii="Times New Roman" w:hAnsi="Times New Roman" w:cs="Times New Roman"/>
        </w:rPr>
        <w:t>13</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6E263415">
      <w:pPr>
        <w:pStyle w:val="14"/>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_Toc1354 </w:instrText>
      </w:r>
      <w:r>
        <w:rPr>
          <w:rFonts w:hint="default" w:ascii="Times New Roman" w:hAnsi="Times New Roman" w:cs="Times New Roman"/>
          <w:bCs w:val="0"/>
          <w:szCs w:val="30"/>
        </w:rPr>
        <w:fldChar w:fldCharType="separate"/>
      </w:r>
      <w:r>
        <w:rPr>
          <w:rFonts w:hint="default" w:ascii="Times New Roman" w:hAnsi="Times New Roman" w:eastAsia="方正大标宋简体" w:cs="Times New Roman"/>
          <w:bCs w:val="0"/>
          <w:szCs w:val="36"/>
        </w:rPr>
        <w:t>第二篇 打造创新引领的“智造之城”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_Toc1354 </w:instrText>
      </w:r>
      <w:r>
        <w:rPr>
          <w:rFonts w:hint="default" w:ascii="Times New Roman" w:hAnsi="Times New Roman" w:cs="Times New Roman"/>
        </w:rPr>
        <w:fldChar w:fldCharType="separate"/>
      </w:r>
      <w:r>
        <w:rPr>
          <w:rFonts w:hint="default" w:ascii="Times New Roman" w:hAnsi="Times New Roman" w:cs="Times New Roman"/>
        </w:rPr>
        <w:t>18</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44301FCF">
      <w:pPr>
        <w:pStyle w:val="16"/>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_Toc17929 </w:instrText>
      </w:r>
      <w:r>
        <w:rPr>
          <w:rFonts w:hint="default" w:ascii="Times New Roman" w:hAnsi="Times New Roman" w:cs="Times New Roman"/>
          <w:bCs w:val="0"/>
          <w:szCs w:val="30"/>
        </w:rPr>
        <w:fldChar w:fldCharType="separate"/>
      </w:r>
      <w:r>
        <w:rPr>
          <w:rFonts w:hint="default" w:ascii="Times New Roman" w:hAnsi="Times New Roman" w:eastAsia="黑体" w:cs="Times New Roman"/>
          <w:szCs w:val="32"/>
        </w:rPr>
        <w:t>第三章 构筑“一超多强”现代化产业体系</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_Toc17929 </w:instrText>
      </w:r>
      <w:r>
        <w:rPr>
          <w:rFonts w:hint="default" w:ascii="Times New Roman" w:hAnsi="Times New Roman" w:cs="Times New Roman"/>
        </w:rPr>
        <w:fldChar w:fldCharType="separate"/>
      </w:r>
      <w:r>
        <w:rPr>
          <w:rFonts w:hint="default" w:ascii="Times New Roman" w:hAnsi="Times New Roman" w:cs="Times New Roman"/>
        </w:rPr>
        <w:t>18</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417145BC">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_Toc26690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第一节 固本升级新一代信息技术“超级”产业集群</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_Toc26690 </w:instrText>
      </w:r>
      <w:r>
        <w:rPr>
          <w:rFonts w:hint="default" w:ascii="Times New Roman" w:hAnsi="Times New Roman" w:cs="Times New Roman"/>
        </w:rPr>
        <w:fldChar w:fldCharType="separate"/>
      </w:r>
      <w:r>
        <w:rPr>
          <w:rFonts w:hint="default" w:ascii="Times New Roman" w:hAnsi="Times New Roman" w:cs="Times New Roman"/>
        </w:rPr>
        <w:t>18</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50507794">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_Toc10476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第二节 聚力壮大“多强”新兴产业集群</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_Toc10476 </w:instrText>
      </w:r>
      <w:r>
        <w:rPr>
          <w:rFonts w:hint="default" w:ascii="Times New Roman" w:hAnsi="Times New Roman" w:cs="Times New Roman"/>
        </w:rPr>
        <w:fldChar w:fldCharType="separate"/>
      </w:r>
      <w:r>
        <w:rPr>
          <w:rFonts w:hint="default" w:ascii="Times New Roman" w:hAnsi="Times New Roman" w:cs="Times New Roman"/>
        </w:rPr>
        <w:t>20</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1CE6974E">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_Toc9383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第三节 加快发展特色产业和未来产业集群</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_Toc9383 </w:instrText>
      </w:r>
      <w:r>
        <w:rPr>
          <w:rFonts w:hint="default" w:ascii="Times New Roman" w:hAnsi="Times New Roman" w:cs="Times New Roman"/>
        </w:rPr>
        <w:fldChar w:fldCharType="separate"/>
      </w:r>
      <w:r>
        <w:rPr>
          <w:rFonts w:hint="default" w:ascii="Times New Roman" w:hAnsi="Times New Roman" w:cs="Times New Roman"/>
        </w:rPr>
        <w:t>23</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4D4A2A44">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_Toc14630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第四节 优质高效发展生产性服务业</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_Toc14630 </w:instrText>
      </w:r>
      <w:r>
        <w:rPr>
          <w:rFonts w:hint="default" w:ascii="Times New Roman" w:hAnsi="Times New Roman" w:cs="Times New Roman"/>
        </w:rPr>
        <w:fldChar w:fldCharType="separate"/>
      </w:r>
      <w:r>
        <w:rPr>
          <w:rFonts w:hint="default" w:ascii="Times New Roman" w:hAnsi="Times New Roman" w:cs="Times New Roman"/>
        </w:rPr>
        <w:t>27</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4AC49865">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_Toc30090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第五节 一体化发展文体旅服务业</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_Toc30090 </w:instrText>
      </w:r>
      <w:r>
        <w:rPr>
          <w:rFonts w:hint="default" w:ascii="Times New Roman" w:hAnsi="Times New Roman" w:cs="Times New Roman"/>
        </w:rPr>
        <w:fldChar w:fldCharType="separate"/>
      </w:r>
      <w:r>
        <w:rPr>
          <w:rFonts w:hint="default" w:ascii="Times New Roman" w:hAnsi="Times New Roman" w:cs="Times New Roman"/>
        </w:rPr>
        <w:t>29</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313C0FA2">
      <w:pPr>
        <w:pStyle w:val="16"/>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_Toc24552 </w:instrText>
      </w:r>
      <w:r>
        <w:rPr>
          <w:rFonts w:hint="default" w:ascii="Times New Roman" w:hAnsi="Times New Roman" w:cs="Times New Roman"/>
          <w:bCs w:val="0"/>
          <w:szCs w:val="30"/>
        </w:rPr>
        <w:fldChar w:fldCharType="separate"/>
      </w:r>
      <w:r>
        <w:rPr>
          <w:rFonts w:hint="default" w:ascii="Times New Roman" w:hAnsi="Times New Roman" w:eastAsia="黑体" w:cs="Times New Roman"/>
          <w:szCs w:val="32"/>
        </w:rPr>
        <w:t>第四章 建设产创融合的高水平创新型城市</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_Toc24552 </w:instrText>
      </w:r>
      <w:r>
        <w:rPr>
          <w:rFonts w:hint="default" w:ascii="Times New Roman" w:hAnsi="Times New Roman" w:cs="Times New Roman"/>
        </w:rPr>
        <w:fldChar w:fldCharType="separate"/>
      </w:r>
      <w:r>
        <w:rPr>
          <w:rFonts w:hint="default" w:ascii="Times New Roman" w:hAnsi="Times New Roman" w:cs="Times New Roman"/>
        </w:rPr>
        <w:t>31</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7FDF65F3">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_Toc23195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第一节 实施“两湖”科创战略布局</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_Toc23195 </w:instrText>
      </w:r>
      <w:r>
        <w:rPr>
          <w:rFonts w:hint="default" w:ascii="Times New Roman" w:hAnsi="Times New Roman" w:cs="Times New Roman"/>
        </w:rPr>
        <w:fldChar w:fldCharType="separate"/>
      </w:r>
      <w:r>
        <w:rPr>
          <w:rFonts w:hint="default" w:ascii="Times New Roman" w:hAnsi="Times New Roman" w:cs="Times New Roman"/>
        </w:rPr>
        <w:t>31</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29A2137E">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_Toc13257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第二节 突出企业创新主体地位</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_Toc13257 </w:instrText>
      </w:r>
      <w:r>
        <w:rPr>
          <w:rFonts w:hint="default" w:ascii="Times New Roman" w:hAnsi="Times New Roman" w:cs="Times New Roman"/>
        </w:rPr>
        <w:fldChar w:fldCharType="separate"/>
      </w:r>
      <w:r>
        <w:rPr>
          <w:rFonts w:hint="default" w:ascii="Times New Roman" w:hAnsi="Times New Roman" w:cs="Times New Roman"/>
        </w:rPr>
        <w:t>33</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26F49958">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_Toc10333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第三节 推进科学家-企业家-投资家协同</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_Toc10333 </w:instrText>
      </w:r>
      <w:r>
        <w:rPr>
          <w:rFonts w:hint="default" w:ascii="Times New Roman" w:hAnsi="Times New Roman" w:cs="Times New Roman"/>
        </w:rPr>
        <w:fldChar w:fldCharType="separate"/>
      </w:r>
      <w:r>
        <w:rPr>
          <w:rFonts w:hint="default" w:ascii="Times New Roman" w:hAnsi="Times New Roman" w:cs="Times New Roman"/>
        </w:rPr>
        <w:t>35</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214E1A93">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_Toc30330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第四节 一体推进教育科技人才发展</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_Toc30330 </w:instrText>
      </w:r>
      <w:r>
        <w:rPr>
          <w:rFonts w:hint="default" w:ascii="Times New Roman" w:hAnsi="Times New Roman" w:cs="Times New Roman"/>
        </w:rPr>
        <w:fldChar w:fldCharType="separate"/>
      </w:r>
      <w:r>
        <w:rPr>
          <w:rFonts w:hint="default" w:ascii="Times New Roman" w:hAnsi="Times New Roman" w:cs="Times New Roman"/>
        </w:rPr>
        <w:t>38</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5CCCC5A8">
      <w:pPr>
        <w:pStyle w:val="16"/>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_Toc17417 </w:instrText>
      </w:r>
      <w:r>
        <w:rPr>
          <w:rFonts w:hint="default" w:ascii="Times New Roman" w:hAnsi="Times New Roman" w:cs="Times New Roman"/>
          <w:bCs w:val="0"/>
          <w:szCs w:val="30"/>
        </w:rPr>
        <w:fldChar w:fldCharType="separate"/>
      </w:r>
      <w:r>
        <w:rPr>
          <w:rFonts w:hint="default" w:ascii="Times New Roman" w:hAnsi="Times New Roman" w:eastAsia="黑体" w:cs="Times New Roman"/>
          <w:szCs w:val="32"/>
        </w:rPr>
        <w:t>第五章 融入以消费为主导的内需发展新格局</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_Toc17417 </w:instrText>
      </w:r>
      <w:r>
        <w:rPr>
          <w:rFonts w:hint="default" w:ascii="Times New Roman" w:hAnsi="Times New Roman" w:cs="Times New Roman"/>
        </w:rPr>
        <w:fldChar w:fldCharType="separate"/>
      </w:r>
      <w:r>
        <w:rPr>
          <w:rFonts w:hint="default" w:ascii="Times New Roman" w:hAnsi="Times New Roman" w:cs="Times New Roman"/>
        </w:rPr>
        <w:t>39</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3650ACD0">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_Toc16726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第一节 融入和拓展国内大市场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_Toc16726 </w:instrText>
      </w:r>
      <w:r>
        <w:rPr>
          <w:rFonts w:hint="default" w:ascii="Times New Roman" w:hAnsi="Times New Roman" w:cs="Times New Roman"/>
        </w:rPr>
        <w:fldChar w:fldCharType="separate"/>
      </w:r>
      <w:r>
        <w:rPr>
          <w:rFonts w:hint="default" w:ascii="Times New Roman" w:hAnsi="Times New Roman" w:cs="Times New Roman"/>
        </w:rPr>
        <w:t>39</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081952E7">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_Toc11893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第二节 加快推进消费提质扩容</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_Toc11893 </w:instrText>
      </w:r>
      <w:r>
        <w:rPr>
          <w:rFonts w:hint="default" w:ascii="Times New Roman" w:hAnsi="Times New Roman" w:cs="Times New Roman"/>
        </w:rPr>
        <w:fldChar w:fldCharType="separate"/>
      </w:r>
      <w:r>
        <w:rPr>
          <w:rFonts w:hint="default" w:ascii="Times New Roman" w:hAnsi="Times New Roman" w:cs="Times New Roman"/>
        </w:rPr>
        <w:t>40</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4844A53C">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_Toc13111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第三节 强化有效投资支撑作用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_Toc13111 </w:instrText>
      </w:r>
      <w:r>
        <w:rPr>
          <w:rFonts w:hint="default" w:ascii="Times New Roman" w:hAnsi="Times New Roman" w:cs="Times New Roman"/>
        </w:rPr>
        <w:fldChar w:fldCharType="separate"/>
      </w:r>
      <w:r>
        <w:rPr>
          <w:rFonts w:hint="default" w:ascii="Times New Roman" w:hAnsi="Times New Roman" w:cs="Times New Roman"/>
        </w:rPr>
        <w:t>43</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04F52B1A">
      <w:pPr>
        <w:pStyle w:val="16"/>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_Toc3838 </w:instrText>
      </w:r>
      <w:r>
        <w:rPr>
          <w:rFonts w:hint="default" w:ascii="Times New Roman" w:hAnsi="Times New Roman" w:cs="Times New Roman"/>
          <w:bCs w:val="0"/>
          <w:szCs w:val="30"/>
        </w:rPr>
        <w:fldChar w:fldCharType="separate"/>
      </w:r>
      <w:r>
        <w:rPr>
          <w:rFonts w:hint="default" w:ascii="Times New Roman" w:hAnsi="Times New Roman" w:eastAsia="黑体" w:cs="Times New Roman"/>
          <w:szCs w:val="32"/>
        </w:rPr>
        <w:t>第六章 建立适应新质生产力发展的体制机制</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_Toc3838 </w:instrText>
      </w:r>
      <w:r>
        <w:rPr>
          <w:rFonts w:hint="default" w:ascii="Times New Roman" w:hAnsi="Times New Roman" w:cs="Times New Roman"/>
        </w:rPr>
        <w:fldChar w:fldCharType="separate"/>
      </w:r>
      <w:r>
        <w:rPr>
          <w:rFonts w:hint="default" w:ascii="Times New Roman" w:hAnsi="Times New Roman" w:cs="Times New Roman"/>
        </w:rPr>
        <w:t>44</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3B177FCB">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_Toc4659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第一节 试点要素市场化配置改革</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_Toc4659 </w:instrText>
      </w:r>
      <w:r>
        <w:rPr>
          <w:rFonts w:hint="default" w:ascii="Times New Roman" w:hAnsi="Times New Roman" w:cs="Times New Roman"/>
        </w:rPr>
        <w:fldChar w:fldCharType="separate"/>
      </w:r>
      <w:r>
        <w:rPr>
          <w:rFonts w:hint="default" w:ascii="Times New Roman" w:hAnsi="Times New Roman" w:cs="Times New Roman"/>
        </w:rPr>
        <w:t>44</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22BB09D0">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_Toc1772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第二节 擦亮“昆如意”营商服务品牌</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_Toc1772 </w:instrText>
      </w:r>
      <w:r>
        <w:rPr>
          <w:rFonts w:hint="default" w:ascii="Times New Roman" w:hAnsi="Times New Roman" w:cs="Times New Roman"/>
        </w:rPr>
        <w:fldChar w:fldCharType="separate"/>
      </w:r>
      <w:r>
        <w:rPr>
          <w:rFonts w:hint="default" w:ascii="Times New Roman" w:hAnsi="Times New Roman" w:cs="Times New Roman"/>
        </w:rPr>
        <w:t>46</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09B792EE">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_Toc10215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第三节 深化行政管理体制改革</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_Toc10215 </w:instrText>
      </w:r>
      <w:r>
        <w:rPr>
          <w:rFonts w:hint="default" w:ascii="Times New Roman" w:hAnsi="Times New Roman" w:cs="Times New Roman"/>
        </w:rPr>
        <w:fldChar w:fldCharType="separate"/>
      </w:r>
      <w:r>
        <w:rPr>
          <w:rFonts w:hint="default" w:ascii="Times New Roman" w:hAnsi="Times New Roman" w:cs="Times New Roman"/>
        </w:rPr>
        <w:t>47</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598B57AC">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_Toc6390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第四节 加快招商引资体制创新</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_Toc6390 </w:instrText>
      </w:r>
      <w:r>
        <w:rPr>
          <w:rFonts w:hint="default" w:ascii="Times New Roman" w:hAnsi="Times New Roman" w:cs="Times New Roman"/>
        </w:rPr>
        <w:fldChar w:fldCharType="separate"/>
      </w:r>
      <w:r>
        <w:rPr>
          <w:rFonts w:hint="default" w:ascii="Times New Roman" w:hAnsi="Times New Roman" w:cs="Times New Roman"/>
        </w:rPr>
        <w:t>49</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602460F7">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_Toc5499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第五节 激发各类经营主体活力</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_Toc5499 </w:instrText>
      </w:r>
      <w:r>
        <w:rPr>
          <w:rFonts w:hint="default" w:ascii="Times New Roman" w:hAnsi="Times New Roman" w:cs="Times New Roman"/>
        </w:rPr>
        <w:fldChar w:fldCharType="separate"/>
      </w:r>
      <w:r>
        <w:rPr>
          <w:rFonts w:hint="default" w:ascii="Times New Roman" w:hAnsi="Times New Roman" w:cs="Times New Roman"/>
        </w:rPr>
        <w:t>50</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27ED4C40">
      <w:pPr>
        <w:pStyle w:val="14"/>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_Toc3523 </w:instrText>
      </w:r>
      <w:r>
        <w:rPr>
          <w:rFonts w:hint="default" w:ascii="Times New Roman" w:hAnsi="Times New Roman" w:cs="Times New Roman"/>
          <w:bCs w:val="0"/>
          <w:szCs w:val="30"/>
        </w:rPr>
        <w:fldChar w:fldCharType="separate"/>
      </w:r>
      <w:r>
        <w:rPr>
          <w:rFonts w:hint="default" w:ascii="Times New Roman" w:hAnsi="Times New Roman" w:eastAsia="方正大标宋简体" w:cs="Times New Roman"/>
          <w:bCs w:val="0"/>
          <w:szCs w:val="36"/>
        </w:rPr>
        <w:t>第三篇 打造融通共赢的“开放之城”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_Toc3523 </w:instrText>
      </w:r>
      <w:r>
        <w:rPr>
          <w:rFonts w:hint="default" w:ascii="Times New Roman" w:hAnsi="Times New Roman" w:cs="Times New Roman"/>
        </w:rPr>
        <w:fldChar w:fldCharType="separate"/>
      </w:r>
      <w:r>
        <w:rPr>
          <w:rFonts w:hint="default" w:ascii="Times New Roman" w:hAnsi="Times New Roman" w:cs="Times New Roman"/>
        </w:rPr>
        <w:t>52</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184292C6">
      <w:pPr>
        <w:pStyle w:val="16"/>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_Toc1170 </w:instrText>
      </w:r>
      <w:r>
        <w:rPr>
          <w:rFonts w:hint="default" w:ascii="Times New Roman" w:hAnsi="Times New Roman" w:cs="Times New Roman"/>
          <w:bCs w:val="0"/>
          <w:szCs w:val="30"/>
        </w:rPr>
        <w:fldChar w:fldCharType="separate"/>
      </w:r>
      <w:r>
        <w:rPr>
          <w:rFonts w:hint="default" w:ascii="Times New Roman" w:hAnsi="Times New Roman" w:eastAsia="黑体" w:cs="Times New Roman"/>
          <w:szCs w:val="32"/>
        </w:rPr>
        <w:t>第七章 建强沪苏同城“第一站”</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_Toc1170 </w:instrText>
      </w:r>
      <w:r>
        <w:rPr>
          <w:rFonts w:hint="default" w:ascii="Times New Roman" w:hAnsi="Times New Roman" w:cs="Times New Roman"/>
        </w:rPr>
        <w:fldChar w:fldCharType="separate"/>
      </w:r>
      <w:r>
        <w:rPr>
          <w:rFonts w:hint="default" w:ascii="Times New Roman" w:hAnsi="Times New Roman" w:cs="Times New Roman"/>
        </w:rPr>
        <w:t>52</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62FD81BD">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_Toc17825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第一节 主动对接上海“五个中心”建设</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_Toc17825 </w:instrText>
      </w:r>
      <w:r>
        <w:rPr>
          <w:rFonts w:hint="default" w:ascii="Times New Roman" w:hAnsi="Times New Roman" w:cs="Times New Roman"/>
        </w:rPr>
        <w:fldChar w:fldCharType="separate"/>
      </w:r>
      <w:r>
        <w:rPr>
          <w:rFonts w:hint="default" w:ascii="Times New Roman" w:hAnsi="Times New Roman" w:cs="Times New Roman"/>
        </w:rPr>
        <w:t>52</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26558ABD">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_Toc1199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第二节 深化重点功能载体对接合作</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_Toc1199 </w:instrText>
      </w:r>
      <w:r>
        <w:rPr>
          <w:rFonts w:hint="default" w:ascii="Times New Roman" w:hAnsi="Times New Roman" w:cs="Times New Roman"/>
        </w:rPr>
        <w:fldChar w:fldCharType="separate"/>
      </w:r>
      <w:r>
        <w:rPr>
          <w:rFonts w:hint="default" w:ascii="Times New Roman" w:hAnsi="Times New Roman" w:cs="Times New Roman"/>
        </w:rPr>
        <w:t>54</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1AFD4AF2">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_Toc10441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第三节 推动公共服务和治理同城化</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_Toc10441 </w:instrText>
      </w:r>
      <w:r>
        <w:rPr>
          <w:rFonts w:hint="default" w:ascii="Times New Roman" w:hAnsi="Times New Roman" w:cs="Times New Roman"/>
        </w:rPr>
        <w:fldChar w:fldCharType="separate"/>
      </w:r>
      <w:r>
        <w:rPr>
          <w:rFonts w:hint="default" w:ascii="Times New Roman" w:hAnsi="Times New Roman" w:cs="Times New Roman"/>
        </w:rPr>
        <w:t>55</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37C1E88A">
      <w:pPr>
        <w:pStyle w:val="16"/>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_Toc8414 </w:instrText>
      </w:r>
      <w:r>
        <w:rPr>
          <w:rFonts w:hint="default" w:ascii="Times New Roman" w:hAnsi="Times New Roman" w:cs="Times New Roman"/>
          <w:bCs w:val="0"/>
          <w:szCs w:val="30"/>
        </w:rPr>
        <w:fldChar w:fldCharType="separate"/>
      </w:r>
      <w:r>
        <w:rPr>
          <w:rFonts w:hint="default" w:ascii="Times New Roman" w:hAnsi="Times New Roman" w:eastAsia="黑体" w:cs="Times New Roman"/>
          <w:szCs w:val="32"/>
        </w:rPr>
        <w:t>第八章 打造对台合作“第一城”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_Toc8414 </w:instrText>
      </w:r>
      <w:r>
        <w:rPr>
          <w:rFonts w:hint="default" w:ascii="Times New Roman" w:hAnsi="Times New Roman" w:cs="Times New Roman"/>
        </w:rPr>
        <w:fldChar w:fldCharType="separate"/>
      </w:r>
      <w:r>
        <w:rPr>
          <w:rFonts w:hint="default" w:ascii="Times New Roman" w:hAnsi="Times New Roman" w:cs="Times New Roman"/>
        </w:rPr>
        <w:t>57</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60865A9A">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_Toc13030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第一节 拓展昆台产业科技全链合作</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_Toc13030 </w:instrText>
      </w:r>
      <w:r>
        <w:rPr>
          <w:rFonts w:hint="default" w:ascii="Times New Roman" w:hAnsi="Times New Roman" w:cs="Times New Roman"/>
        </w:rPr>
        <w:fldChar w:fldCharType="separate"/>
      </w:r>
      <w:r>
        <w:rPr>
          <w:rFonts w:hint="default" w:ascii="Times New Roman" w:hAnsi="Times New Roman" w:cs="Times New Roman"/>
        </w:rPr>
        <w:t>57</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7A3775D7">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_Toc22440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第二节 深化重大改革创新平台建设</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_Toc22440 </w:instrText>
      </w:r>
      <w:r>
        <w:rPr>
          <w:rFonts w:hint="default" w:ascii="Times New Roman" w:hAnsi="Times New Roman" w:cs="Times New Roman"/>
        </w:rPr>
        <w:fldChar w:fldCharType="separate"/>
      </w:r>
      <w:r>
        <w:rPr>
          <w:rFonts w:hint="default" w:ascii="Times New Roman" w:hAnsi="Times New Roman" w:cs="Times New Roman"/>
        </w:rPr>
        <w:t>58</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4ED07AF5">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_Toc15294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第三节 打造两岸融合发展示范区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_Toc15294 </w:instrText>
      </w:r>
      <w:r>
        <w:rPr>
          <w:rFonts w:hint="default" w:ascii="Times New Roman" w:hAnsi="Times New Roman" w:cs="Times New Roman"/>
        </w:rPr>
        <w:fldChar w:fldCharType="separate"/>
      </w:r>
      <w:r>
        <w:rPr>
          <w:rFonts w:hint="default" w:ascii="Times New Roman" w:hAnsi="Times New Roman" w:cs="Times New Roman"/>
        </w:rPr>
        <w:t>59</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6BE10C99">
      <w:pPr>
        <w:pStyle w:val="16"/>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_Toc12184 </w:instrText>
      </w:r>
      <w:r>
        <w:rPr>
          <w:rFonts w:hint="default" w:ascii="Times New Roman" w:hAnsi="Times New Roman" w:cs="Times New Roman"/>
          <w:bCs w:val="0"/>
          <w:szCs w:val="30"/>
        </w:rPr>
        <w:fldChar w:fldCharType="separate"/>
      </w:r>
      <w:r>
        <w:rPr>
          <w:rFonts w:hint="default" w:ascii="Times New Roman" w:hAnsi="Times New Roman" w:eastAsia="黑体" w:cs="Times New Roman"/>
          <w:szCs w:val="32"/>
        </w:rPr>
        <w:t>第九章 建设内外开放链接“新节点”</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_Toc12184 </w:instrText>
      </w:r>
      <w:r>
        <w:rPr>
          <w:rFonts w:hint="default" w:ascii="Times New Roman" w:hAnsi="Times New Roman" w:cs="Times New Roman"/>
        </w:rPr>
        <w:fldChar w:fldCharType="separate"/>
      </w:r>
      <w:r>
        <w:rPr>
          <w:rFonts w:hint="default" w:ascii="Times New Roman" w:hAnsi="Times New Roman" w:cs="Times New Roman"/>
        </w:rPr>
        <w:t>60</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2DEF94AF">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_Toc28201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第一节 加强区域一体化合作</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_Toc28201 </w:instrText>
      </w:r>
      <w:r>
        <w:rPr>
          <w:rFonts w:hint="default" w:ascii="Times New Roman" w:hAnsi="Times New Roman" w:cs="Times New Roman"/>
        </w:rPr>
        <w:fldChar w:fldCharType="separate"/>
      </w:r>
      <w:r>
        <w:rPr>
          <w:rFonts w:hint="default" w:ascii="Times New Roman" w:hAnsi="Times New Roman" w:cs="Times New Roman"/>
        </w:rPr>
        <w:t>60</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59C439EA">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_Toc13520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第二节 加快贸易创新发展</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_Toc13520 </w:instrText>
      </w:r>
      <w:r>
        <w:rPr>
          <w:rFonts w:hint="default" w:ascii="Times New Roman" w:hAnsi="Times New Roman" w:cs="Times New Roman"/>
        </w:rPr>
        <w:fldChar w:fldCharType="separate"/>
      </w:r>
      <w:r>
        <w:rPr>
          <w:rFonts w:hint="default" w:ascii="Times New Roman" w:hAnsi="Times New Roman" w:cs="Times New Roman"/>
        </w:rPr>
        <w:t>62</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0BFDB372">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_Toc10169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第三节 塑造吸引外资新优势</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_Toc10169 </w:instrText>
      </w:r>
      <w:r>
        <w:rPr>
          <w:rFonts w:hint="default" w:ascii="Times New Roman" w:hAnsi="Times New Roman" w:cs="Times New Roman"/>
        </w:rPr>
        <w:fldChar w:fldCharType="separate"/>
      </w:r>
      <w:r>
        <w:rPr>
          <w:rFonts w:hint="default" w:ascii="Times New Roman" w:hAnsi="Times New Roman" w:cs="Times New Roman"/>
        </w:rPr>
        <w:t>63</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47941691">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_Toc20624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第四节 服务本地企业“出海”</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_Toc20624 </w:instrText>
      </w:r>
      <w:r>
        <w:rPr>
          <w:rFonts w:hint="default" w:ascii="Times New Roman" w:hAnsi="Times New Roman" w:cs="Times New Roman"/>
        </w:rPr>
        <w:fldChar w:fldCharType="separate"/>
      </w:r>
      <w:r>
        <w:rPr>
          <w:rFonts w:hint="default" w:ascii="Times New Roman" w:hAnsi="Times New Roman" w:cs="Times New Roman"/>
        </w:rPr>
        <w:t>64</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4B28F447">
      <w:pPr>
        <w:pStyle w:val="14"/>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_Toc3785 </w:instrText>
      </w:r>
      <w:r>
        <w:rPr>
          <w:rFonts w:hint="default" w:ascii="Times New Roman" w:hAnsi="Times New Roman" w:cs="Times New Roman"/>
          <w:bCs w:val="0"/>
          <w:szCs w:val="30"/>
        </w:rPr>
        <w:fldChar w:fldCharType="separate"/>
      </w:r>
      <w:r>
        <w:rPr>
          <w:rFonts w:hint="default" w:ascii="Times New Roman" w:hAnsi="Times New Roman" w:eastAsia="方正小标宋简体" w:cs="Times New Roman"/>
          <w:bCs w:val="0"/>
          <w:szCs w:val="36"/>
        </w:rPr>
        <w:t>第四篇 打造美丽现代的“品质之城”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_Toc3785 </w:instrText>
      </w:r>
      <w:r>
        <w:rPr>
          <w:rFonts w:hint="default" w:ascii="Times New Roman" w:hAnsi="Times New Roman" w:cs="Times New Roman"/>
        </w:rPr>
        <w:fldChar w:fldCharType="separate"/>
      </w:r>
      <w:r>
        <w:rPr>
          <w:rFonts w:hint="default" w:ascii="Times New Roman" w:hAnsi="Times New Roman" w:cs="Times New Roman"/>
        </w:rPr>
        <w:t>66</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5F1623A0">
      <w:pPr>
        <w:pStyle w:val="16"/>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_Toc12690 </w:instrText>
      </w:r>
      <w:r>
        <w:rPr>
          <w:rFonts w:hint="default" w:ascii="Times New Roman" w:hAnsi="Times New Roman" w:cs="Times New Roman"/>
          <w:bCs w:val="0"/>
          <w:szCs w:val="30"/>
        </w:rPr>
        <w:fldChar w:fldCharType="separate"/>
      </w:r>
      <w:r>
        <w:rPr>
          <w:rFonts w:hint="default" w:ascii="Times New Roman" w:hAnsi="Times New Roman" w:eastAsia="黑体" w:cs="Times New Roman"/>
          <w:szCs w:val="32"/>
        </w:rPr>
        <w:t>第十章 建设舒适便利宜居城市</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_Toc12690 </w:instrText>
      </w:r>
      <w:r>
        <w:rPr>
          <w:rFonts w:hint="default" w:ascii="Times New Roman" w:hAnsi="Times New Roman" w:cs="Times New Roman"/>
        </w:rPr>
        <w:fldChar w:fldCharType="separate"/>
      </w:r>
      <w:r>
        <w:rPr>
          <w:rFonts w:hint="default" w:ascii="Times New Roman" w:hAnsi="Times New Roman" w:cs="Times New Roman"/>
        </w:rPr>
        <w:t>66</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2C25C570">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_Toc22983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第一节 全面优化城市空间布局</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_Toc22983 </w:instrText>
      </w:r>
      <w:r>
        <w:rPr>
          <w:rFonts w:hint="default" w:ascii="Times New Roman" w:hAnsi="Times New Roman" w:cs="Times New Roman"/>
        </w:rPr>
        <w:fldChar w:fldCharType="separate"/>
      </w:r>
      <w:r>
        <w:rPr>
          <w:rFonts w:hint="default" w:ascii="Times New Roman" w:hAnsi="Times New Roman" w:cs="Times New Roman"/>
        </w:rPr>
        <w:t>66</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7EBEFB9A">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_Toc29866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第二节 大力实施城市更新改造</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_Toc29866 </w:instrText>
      </w:r>
      <w:r>
        <w:rPr>
          <w:rFonts w:hint="default" w:ascii="Times New Roman" w:hAnsi="Times New Roman" w:cs="Times New Roman"/>
        </w:rPr>
        <w:fldChar w:fldCharType="separate"/>
      </w:r>
      <w:r>
        <w:rPr>
          <w:rFonts w:hint="default" w:ascii="Times New Roman" w:hAnsi="Times New Roman" w:cs="Times New Roman"/>
        </w:rPr>
        <w:t>70</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72471BE0">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_Toc23021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第三节 构筑现代基础设施体系</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_Toc23021 </w:instrText>
      </w:r>
      <w:r>
        <w:rPr>
          <w:rFonts w:hint="default" w:ascii="Times New Roman" w:hAnsi="Times New Roman" w:cs="Times New Roman"/>
        </w:rPr>
        <w:fldChar w:fldCharType="separate"/>
      </w:r>
      <w:r>
        <w:rPr>
          <w:rFonts w:hint="default" w:ascii="Times New Roman" w:hAnsi="Times New Roman" w:cs="Times New Roman"/>
        </w:rPr>
        <w:t>72</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7DE52075">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_Toc30479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第四节 塑造青春时尚绚丽城市</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_Toc30479 </w:instrText>
      </w:r>
      <w:r>
        <w:rPr>
          <w:rFonts w:hint="default" w:ascii="Times New Roman" w:hAnsi="Times New Roman" w:cs="Times New Roman"/>
        </w:rPr>
        <w:fldChar w:fldCharType="separate"/>
      </w:r>
      <w:r>
        <w:rPr>
          <w:rFonts w:hint="default" w:ascii="Times New Roman" w:hAnsi="Times New Roman" w:cs="Times New Roman"/>
        </w:rPr>
        <w:t>73</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77FC4D91">
      <w:pPr>
        <w:pStyle w:val="16"/>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_Toc11477 </w:instrText>
      </w:r>
      <w:r>
        <w:rPr>
          <w:rFonts w:hint="default" w:ascii="Times New Roman" w:hAnsi="Times New Roman" w:cs="Times New Roman"/>
          <w:bCs w:val="0"/>
          <w:szCs w:val="30"/>
        </w:rPr>
        <w:fldChar w:fldCharType="separate"/>
      </w:r>
      <w:r>
        <w:rPr>
          <w:rFonts w:hint="default" w:ascii="Times New Roman" w:hAnsi="Times New Roman" w:eastAsia="黑体" w:cs="Times New Roman"/>
          <w:szCs w:val="32"/>
        </w:rPr>
        <w:t>第十一章 建设便捷高效智慧城市</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_Toc11477 </w:instrText>
      </w:r>
      <w:r>
        <w:rPr>
          <w:rFonts w:hint="default" w:ascii="Times New Roman" w:hAnsi="Times New Roman" w:cs="Times New Roman"/>
        </w:rPr>
        <w:fldChar w:fldCharType="separate"/>
      </w:r>
      <w:r>
        <w:rPr>
          <w:rFonts w:hint="default" w:ascii="Times New Roman" w:hAnsi="Times New Roman" w:cs="Times New Roman"/>
        </w:rPr>
        <w:t>74</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3E43C3D8">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_Toc18482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第一节 推进智能经济发展</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_Toc18482 </w:instrText>
      </w:r>
      <w:r>
        <w:rPr>
          <w:rFonts w:hint="default" w:ascii="Times New Roman" w:hAnsi="Times New Roman" w:cs="Times New Roman"/>
        </w:rPr>
        <w:fldChar w:fldCharType="separate"/>
      </w:r>
      <w:r>
        <w:rPr>
          <w:rFonts w:hint="default" w:ascii="Times New Roman" w:hAnsi="Times New Roman" w:cs="Times New Roman"/>
        </w:rPr>
        <w:t>75</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2951C4FF">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_Toc21377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第二节 优化智能服务供给</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_Toc21377 </w:instrText>
      </w:r>
      <w:r>
        <w:rPr>
          <w:rFonts w:hint="default" w:ascii="Times New Roman" w:hAnsi="Times New Roman" w:cs="Times New Roman"/>
        </w:rPr>
        <w:fldChar w:fldCharType="separate"/>
      </w:r>
      <w:r>
        <w:rPr>
          <w:rFonts w:hint="default" w:ascii="Times New Roman" w:hAnsi="Times New Roman" w:cs="Times New Roman"/>
        </w:rPr>
        <w:t>76</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1F732C08">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_Toc7955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第三节 强化城市智能运营</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_Toc7955 </w:instrText>
      </w:r>
      <w:r>
        <w:rPr>
          <w:rFonts w:hint="default" w:ascii="Times New Roman" w:hAnsi="Times New Roman" w:cs="Times New Roman"/>
        </w:rPr>
        <w:fldChar w:fldCharType="separate"/>
      </w:r>
      <w:r>
        <w:rPr>
          <w:rFonts w:hint="default" w:ascii="Times New Roman" w:hAnsi="Times New Roman" w:cs="Times New Roman"/>
        </w:rPr>
        <w:t>78</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1D2046B1">
      <w:pPr>
        <w:pStyle w:val="16"/>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_Toc8912 </w:instrText>
      </w:r>
      <w:r>
        <w:rPr>
          <w:rFonts w:hint="default" w:ascii="Times New Roman" w:hAnsi="Times New Roman" w:cs="Times New Roman"/>
          <w:bCs w:val="0"/>
          <w:szCs w:val="30"/>
        </w:rPr>
        <w:fldChar w:fldCharType="separate"/>
      </w:r>
      <w:r>
        <w:rPr>
          <w:rFonts w:hint="default" w:ascii="Times New Roman" w:hAnsi="Times New Roman" w:eastAsia="黑体" w:cs="Times New Roman"/>
          <w:szCs w:val="32"/>
        </w:rPr>
        <w:t>第十二章 构建绿色低碳美丽城市</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_Toc8912 </w:instrText>
      </w:r>
      <w:r>
        <w:rPr>
          <w:rFonts w:hint="default" w:ascii="Times New Roman" w:hAnsi="Times New Roman" w:cs="Times New Roman"/>
        </w:rPr>
        <w:fldChar w:fldCharType="separate"/>
      </w:r>
      <w:r>
        <w:rPr>
          <w:rFonts w:hint="default" w:ascii="Times New Roman" w:hAnsi="Times New Roman" w:cs="Times New Roman"/>
        </w:rPr>
        <w:t>79</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557FC6DB">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_Toc6000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第一节 巩固提升生态环境质量</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_Toc6000 </w:instrText>
      </w:r>
      <w:r>
        <w:rPr>
          <w:rFonts w:hint="default" w:ascii="Times New Roman" w:hAnsi="Times New Roman" w:cs="Times New Roman"/>
        </w:rPr>
        <w:fldChar w:fldCharType="separate"/>
      </w:r>
      <w:r>
        <w:rPr>
          <w:rFonts w:hint="default" w:ascii="Times New Roman" w:hAnsi="Times New Roman" w:cs="Times New Roman"/>
        </w:rPr>
        <w:t>79</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7D8D0220">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_Toc24699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第二节 提高绿色低碳发展质效</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_Toc24699 </w:instrText>
      </w:r>
      <w:r>
        <w:rPr>
          <w:rFonts w:hint="default" w:ascii="Times New Roman" w:hAnsi="Times New Roman" w:cs="Times New Roman"/>
        </w:rPr>
        <w:fldChar w:fldCharType="separate"/>
      </w:r>
      <w:r>
        <w:rPr>
          <w:rFonts w:hint="default" w:ascii="Times New Roman" w:hAnsi="Times New Roman" w:cs="Times New Roman"/>
        </w:rPr>
        <w:t>81</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7D443BB9">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_Toc23879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第三节 完善生态治理长效机制</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_Toc23879 </w:instrText>
      </w:r>
      <w:r>
        <w:rPr>
          <w:rFonts w:hint="default" w:ascii="Times New Roman" w:hAnsi="Times New Roman" w:cs="Times New Roman"/>
        </w:rPr>
        <w:fldChar w:fldCharType="separate"/>
      </w:r>
      <w:r>
        <w:rPr>
          <w:rFonts w:hint="default" w:ascii="Times New Roman" w:hAnsi="Times New Roman" w:cs="Times New Roman"/>
        </w:rPr>
        <w:t>83</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054FB7CF">
      <w:pPr>
        <w:pStyle w:val="16"/>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_Toc14602 </w:instrText>
      </w:r>
      <w:r>
        <w:rPr>
          <w:rFonts w:hint="default" w:ascii="Times New Roman" w:hAnsi="Times New Roman" w:cs="Times New Roman"/>
          <w:bCs w:val="0"/>
          <w:szCs w:val="30"/>
        </w:rPr>
        <w:fldChar w:fldCharType="separate"/>
      </w:r>
      <w:r>
        <w:rPr>
          <w:rFonts w:hint="default" w:ascii="Times New Roman" w:hAnsi="Times New Roman" w:eastAsia="黑体" w:cs="Times New Roman"/>
          <w:szCs w:val="32"/>
        </w:rPr>
        <w:t>第十三章 建设大都会近郊区和美乡村</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_Toc14602 </w:instrText>
      </w:r>
      <w:r>
        <w:rPr>
          <w:rFonts w:hint="default" w:ascii="Times New Roman" w:hAnsi="Times New Roman" w:cs="Times New Roman"/>
        </w:rPr>
        <w:fldChar w:fldCharType="separate"/>
      </w:r>
      <w:r>
        <w:rPr>
          <w:rFonts w:hint="default" w:ascii="Times New Roman" w:hAnsi="Times New Roman" w:cs="Times New Roman"/>
        </w:rPr>
        <w:t>84</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36E41D00">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_Toc24956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第一节 创新赋能乡村特色产业</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_Toc24956 </w:instrText>
      </w:r>
      <w:r>
        <w:rPr>
          <w:rFonts w:hint="default" w:ascii="Times New Roman" w:hAnsi="Times New Roman" w:cs="Times New Roman"/>
        </w:rPr>
        <w:fldChar w:fldCharType="separate"/>
      </w:r>
      <w:r>
        <w:rPr>
          <w:rFonts w:hint="default" w:ascii="Times New Roman" w:hAnsi="Times New Roman" w:cs="Times New Roman"/>
        </w:rPr>
        <w:t>84</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2065008C">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_Toc24163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第二节 统筹推进城乡融合发展</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_Toc24163 </w:instrText>
      </w:r>
      <w:r>
        <w:rPr>
          <w:rFonts w:hint="default" w:ascii="Times New Roman" w:hAnsi="Times New Roman" w:cs="Times New Roman"/>
        </w:rPr>
        <w:fldChar w:fldCharType="separate"/>
      </w:r>
      <w:r>
        <w:rPr>
          <w:rFonts w:hint="default" w:ascii="Times New Roman" w:hAnsi="Times New Roman" w:cs="Times New Roman"/>
        </w:rPr>
        <w:t>85</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68C3C63E">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_Toc18600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第三节 深化推进农村综合改革</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_Toc18600 </w:instrText>
      </w:r>
      <w:r>
        <w:rPr>
          <w:rFonts w:hint="default" w:ascii="Times New Roman" w:hAnsi="Times New Roman" w:cs="Times New Roman"/>
        </w:rPr>
        <w:fldChar w:fldCharType="separate"/>
      </w:r>
      <w:r>
        <w:rPr>
          <w:rFonts w:hint="default" w:ascii="Times New Roman" w:hAnsi="Times New Roman" w:cs="Times New Roman"/>
        </w:rPr>
        <w:t>87</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42819225">
      <w:pPr>
        <w:pStyle w:val="14"/>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_Toc23520 </w:instrText>
      </w:r>
      <w:r>
        <w:rPr>
          <w:rFonts w:hint="default" w:ascii="Times New Roman" w:hAnsi="Times New Roman" w:cs="Times New Roman"/>
          <w:bCs w:val="0"/>
          <w:szCs w:val="30"/>
        </w:rPr>
        <w:fldChar w:fldCharType="separate"/>
      </w:r>
      <w:r>
        <w:rPr>
          <w:rFonts w:hint="default" w:ascii="Times New Roman" w:hAnsi="Times New Roman" w:eastAsia="方正小标宋简体" w:cs="Times New Roman"/>
          <w:kern w:val="44"/>
          <w:szCs w:val="36"/>
        </w:rPr>
        <w:t>第五篇 打造人民满意的“幸福之城”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_Toc23520 </w:instrText>
      </w:r>
      <w:r>
        <w:rPr>
          <w:rFonts w:hint="default" w:ascii="Times New Roman" w:hAnsi="Times New Roman" w:cs="Times New Roman"/>
        </w:rPr>
        <w:fldChar w:fldCharType="separate"/>
      </w:r>
      <w:r>
        <w:rPr>
          <w:rFonts w:hint="default" w:ascii="Times New Roman" w:hAnsi="Times New Roman" w:cs="Times New Roman"/>
        </w:rPr>
        <w:t>89</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07A1931E">
      <w:pPr>
        <w:pStyle w:val="16"/>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_Toc3412 </w:instrText>
      </w:r>
      <w:r>
        <w:rPr>
          <w:rFonts w:hint="default" w:ascii="Times New Roman" w:hAnsi="Times New Roman" w:cs="Times New Roman"/>
          <w:bCs w:val="0"/>
          <w:szCs w:val="30"/>
        </w:rPr>
        <w:fldChar w:fldCharType="separate"/>
      </w:r>
      <w:r>
        <w:rPr>
          <w:rFonts w:hint="default" w:ascii="Times New Roman" w:hAnsi="Times New Roman" w:eastAsia="黑体" w:cs="Times New Roman"/>
          <w:bCs w:val="0"/>
        </w:rPr>
        <w:t>第十四章 聚力提高人民群众生活品质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_Toc3412 </w:instrText>
      </w:r>
      <w:r>
        <w:rPr>
          <w:rFonts w:hint="default" w:ascii="Times New Roman" w:hAnsi="Times New Roman" w:cs="Times New Roman"/>
        </w:rPr>
        <w:fldChar w:fldCharType="separate"/>
      </w:r>
      <w:r>
        <w:rPr>
          <w:rFonts w:hint="default" w:ascii="Times New Roman" w:hAnsi="Times New Roman" w:cs="Times New Roman"/>
        </w:rPr>
        <w:t>89</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6E9D7F33">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_Toc21522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第一节 促进人口高质量发展</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_Toc21522 </w:instrText>
      </w:r>
      <w:r>
        <w:rPr>
          <w:rFonts w:hint="default" w:ascii="Times New Roman" w:hAnsi="Times New Roman" w:cs="Times New Roman"/>
        </w:rPr>
        <w:fldChar w:fldCharType="separate"/>
      </w:r>
      <w:r>
        <w:rPr>
          <w:rFonts w:hint="default" w:ascii="Times New Roman" w:hAnsi="Times New Roman" w:cs="Times New Roman"/>
        </w:rPr>
        <w:t>89</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55795931">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_Toc22839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第二节 构建多层次保障体系</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_Toc22839 </w:instrText>
      </w:r>
      <w:r>
        <w:rPr>
          <w:rFonts w:hint="default" w:ascii="Times New Roman" w:hAnsi="Times New Roman" w:cs="Times New Roman"/>
        </w:rPr>
        <w:fldChar w:fldCharType="separate"/>
      </w:r>
      <w:r>
        <w:rPr>
          <w:rFonts w:hint="default" w:ascii="Times New Roman" w:hAnsi="Times New Roman" w:cs="Times New Roman"/>
        </w:rPr>
        <w:t>90</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2C372BFF">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_Toc15770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第三节 办好人民满意教育</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_Toc15770 </w:instrText>
      </w:r>
      <w:r>
        <w:rPr>
          <w:rFonts w:hint="default" w:ascii="Times New Roman" w:hAnsi="Times New Roman" w:cs="Times New Roman"/>
        </w:rPr>
        <w:fldChar w:fldCharType="separate"/>
      </w:r>
      <w:r>
        <w:rPr>
          <w:rFonts w:hint="default" w:ascii="Times New Roman" w:hAnsi="Times New Roman" w:cs="Times New Roman"/>
        </w:rPr>
        <w:t>92</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20474B3F">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_Toc29996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第四节 优化医疗服务供给</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_Toc29996 </w:instrText>
      </w:r>
      <w:r>
        <w:rPr>
          <w:rFonts w:hint="default" w:ascii="Times New Roman" w:hAnsi="Times New Roman" w:cs="Times New Roman"/>
        </w:rPr>
        <w:fldChar w:fldCharType="separate"/>
      </w:r>
      <w:r>
        <w:rPr>
          <w:rFonts w:hint="default" w:ascii="Times New Roman" w:hAnsi="Times New Roman" w:cs="Times New Roman"/>
        </w:rPr>
        <w:t>94</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251B46E9">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_Toc8122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第五节 提升养老服务品质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_Toc8122 </w:instrText>
      </w:r>
      <w:r>
        <w:rPr>
          <w:rFonts w:hint="default" w:ascii="Times New Roman" w:hAnsi="Times New Roman" w:cs="Times New Roman"/>
        </w:rPr>
        <w:fldChar w:fldCharType="separate"/>
      </w:r>
      <w:r>
        <w:rPr>
          <w:rFonts w:hint="default" w:ascii="Times New Roman" w:hAnsi="Times New Roman" w:cs="Times New Roman"/>
        </w:rPr>
        <w:t>96</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5821F163">
      <w:pPr>
        <w:pStyle w:val="16"/>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_Toc28146 </w:instrText>
      </w:r>
      <w:r>
        <w:rPr>
          <w:rFonts w:hint="default" w:ascii="Times New Roman" w:hAnsi="Times New Roman" w:cs="Times New Roman"/>
          <w:bCs w:val="0"/>
          <w:szCs w:val="30"/>
        </w:rPr>
        <w:fldChar w:fldCharType="separate"/>
      </w:r>
      <w:r>
        <w:rPr>
          <w:rFonts w:hint="default" w:ascii="Times New Roman" w:hAnsi="Times New Roman" w:eastAsia="黑体" w:cs="Times New Roman"/>
          <w:bCs w:val="0"/>
        </w:rPr>
        <w:t>第十五章 育成开放包容的现代人文高地</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_Toc28146 </w:instrText>
      </w:r>
      <w:r>
        <w:rPr>
          <w:rFonts w:hint="default" w:ascii="Times New Roman" w:hAnsi="Times New Roman" w:cs="Times New Roman"/>
        </w:rPr>
        <w:fldChar w:fldCharType="separate"/>
      </w:r>
      <w:r>
        <w:rPr>
          <w:rFonts w:hint="default" w:ascii="Times New Roman" w:hAnsi="Times New Roman" w:cs="Times New Roman"/>
        </w:rPr>
        <w:t>98</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090A001D">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_Toc5266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第一节 弘扬和践行社会主义核心价值观</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_Toc5266 </w:instrText>
      </w:r>
      <w:r>
        <w:rPr>
          <w:rFonts w:hint="default" w:ascii="Times New Roman" w:hAnsi="Times New Roman" w:cs="Times New Roman"/>
        </w:rPr>
        <w:fldChar w:fldCharType="separate"/>
      </w:r>
      <w:r>
        <w:rPr>
          <w:rFonts w:hint="default" w:ascii="Times New Roman" w:hAnsi="Times New Roman" w:cs="Times New Roman"/>
        </w:rPr>
        <w:t>98</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5C68C2AD">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_Toc15365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第二节 活化利用“江南韵”传统文化</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_Toc15365 </w:instrText>
      </w:r>
      <w:r>
        <w:rPr>
          <w:rFonts w:hint="default" w:ascii="Times New Roman" w:hAnsi="Times New Roman" w:cs="Times New Roman"/>
        </w:rPr>
        <w:fldChar w:fldCharType="separate"/>
      </w:r>
      <w:r>
        <w:rPr>
          <w:rFonts w:hint="default" w:ascii="Times New Roman" w:hAnsi="Times New Roman" w:cs="Times New Roman"/>
        </w:rPr>
        <w:t>99</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433836BA">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_Toc17958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第三节 优化公共文化服务体系</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_Toc17958 </w:instrText>
      </w:r>
      <w:r>
        <w:rPr>
          <w:rFonts w:hint="default" w:ascii="Times New Roman" w:hAnsi="Times New Roman" w:cs="Times New Roman"/>
        </w:rPr>
        <w:fldChar w:fldCharType="separate"/>
      </w:r>
      <w:r>
        <w:rPr>
          <w:rFonts w:hint="default" w:ascii="Times New Roman" w:hAnsi="Times New Roman" w:cs="Times New Roman"/>
        </w:rPr>
        <w:t>101</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49E273AA">
      <w:pPr>
        <w:pStyle w:val="16"/>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_Toc28420 </w:instrText>
      </w:r>
      <w:r>
        <w:rPr>
          <w:rFonts w:hint="default" w:ascii="Times New Roman" w:hAnsi="Times New Roman" w:cs="Times New Roman"/>
          <w:bCs w:val="0"/>
          <w:szCs w:val="30"/>
        </w:rPr>
        <w:fldChar w:fldCharType="separate"/>
      </w:r>
      <w:r>
        <w:rPr>
          <w:rFonts w:hint="default" w:ascii="Times New Roman" w:hAnsi="Times New Roman" w:eastAsia="黑体" w:cs="Times New Roman"/>
          <w:bCs w:val="0"/>
        </w:rPr>
        <w:t>第十六章 健全安全高效的市域治理体系</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_Toc28420 </w:instrText>
      </w:r>
      <w:r>
        <w:rPr>
          <w:rFonts w:hint="default" w:ascii="Times New Roman" w:hAnsi="Times New Roman" w:cs="Times New Roman"/>
        </w:rPr>
        <w:fldChar w:fldCharType="separate"/>
      </w:r>
      <w:r>
        <w:rPr>
          <w:rFonts w:hint="default" w:ascii="Times New Roman" w:hAnsi="Times New Roman" w:cs="Times New Roman"/>
        </w:rPr>
        <w:t>102</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512B3BE6">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_Toc1177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第一节 提高公共安全治理水平</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_Toc1177 </w:instrText>
      </w:r>
      <w:r>
        <w:rPr>
          <w:rFonts w:hint="default" w:ascii="Times New Roman" w:hAnsi="Times New Roman" w:cs="Times New Roman"/>
        </w:rPr>
        <w:fldChar w:fldCharType="separate"/>
      </w:r>
      <w:r>
        <w:rPr>
          <w:rFonts w:hint="default" w:ascii="Times New Roman" w:hAnsi="Times New Roman" w:cs="Times New Roman"/>
        </w:rPr>
        <w:t>103</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77309EE0">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_Toc8577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第二节 完善共建共治社会治理制度</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_Toc8577 </w:instrText>
      </w:r>
      <w:r>
        <w:rPr>
          <w:rFonts w:hint="default" w:ascii="Times New Roman" w:hAnsi="Times New Roman" w:cs="Times New Roman"/>
        </w:rPr>
        <w:fldChar w:fldCharType="separate"/>
      </w:r>
      <w:r>
        <w:rPr>
          <w:rFonts w:hint="default" w:ascii="Times New Roman" w:hAnsi="Times New Roman" w:cs="Times New Roman"/>
        </w:rPr>
        <w:t>105</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427A71DE">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_Toc18243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第三节 全面推进法治昆山建设</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_Toc18243 </w:instrText>
      </w:r>
      <w:r>
        <w:rPr>
          <w:rFonts w:hint="default" w:ascii="Times New Roman" w:hAnsi="Times New Roman" w:cs="Times New Roman"/>
        </w:rPr>
        <w:fldChar w:fldCharType="separate"/>
      </w:r>
      <w:r>
        <w:rPr>
          <w:rFonts w:hint="default" w:ascii="Times New Roman" w:hAnsi="Times New Roman" w:cs="Times New Roman"/>
        </w:rPr>
        <w:t>106</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73AC0C85">
      <w:pPr>
        <w:pStyle w:val="16"/>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_Toc24633 </w:instrText>
      </w:r>
      <w:r>
        <w:rPr>
          <w:rFonts w:hint="default" w:ascii="Times New Roman" w:hAnsi="Times New Roman" w:cs="Times New Roman"/>
          <w:bCs w:val="0"/>
          <w:szCs w:val="30"/>
        </w:rPr>
        <w:fldChar w:fldCharType="separate"/>
      </w:r>
      <w:r>
        <w:rPr>
          <w:rFonts w:hint="default" w:ascii="Times New Roman" w:hAnsi="Times New Roman" w:eastAsia="黑体" w:cs="Times New Roman"/>
          <w:szCs w:val="32"/>
        </w:rPr>
        <w:t>第十七章 系统强化规划实施各项保障</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_Toc24633 </w:instrText>
      </w:r>
      <w:r>
        <w:rPr>
          <w:rFonts w:hint="default" w:ascii="Times New Roman" w:hAnsi="Times New Roman" w:cs="Times New Roman"/>
        </w:rPr>
        <w:fldChar w:fldCharType="separate"/>
      </w:r>
      <w:r>
        <w:rPr>
          <w:rFonts w:hint="default" w:ascii="Times New Roman" w:hAnsi="Times New Roman" w:cs="Times New Roman"/>
        </w:rPr>
        <w:t>107</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685E73CC">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_Toc14230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第一节 坚持和加强党的全面领导</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_Toc14230 </w:instrText>
      </w:r>
      <w:r>
        <w:rPr>
          <w:rFonts w:hint="default" w:ascii="Times New Roman" w:hAnsi="Times New Roman" w:cs="Times New Roman"/>
        </w:rPr>
        <w:fldChar w:fldCharType="separate"/>
      </w:r>
      <w:r>
        <w:rPr>
          <w:rFonts w:hint="default" w:ascii="Times New Roman" w:hAnsi="Times New Roman" w:cs="Times New Roman"/>
        </w:rPr>
        <w:t>107</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09ED511C">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_Toc18422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第二节 健全完善规划实施机制</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_Toc18422 </w:instrText>
      </w:r>
      <w:r>
        <w:rPr>
          <w:rFonts w:hint="default" w:ascii="Times New Roman" w:hAnsi="Times New Roman" w:cs="Times New Roman"/>
        </w:rPr>
        <w:fldChar w:fldCharType="separate"/>
      </w:r>
      <w:r>
        <w:rPr>
          <w:rFonts w:hint="default" w:ascii="Times New Roman" w:hAnsi="Times New Roman" w:cs="Times New Roman"/>
        </w:rPr>
        <w:t>108</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53E8F988">
      <w:pPr>
        <w:pStyle w:val="10"/>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_Toc7136 </w:instrText>
      </w:r>
      <w:r>
        <w:rPr>
          <w:rFonts w:hint="default" w:ascii="Times New Roman" w:hAnsi="Times New Roman" w:cs="Times New Roman"/>
          <w:bCs w:val="0"/>
          <w:szCs w:val="30"/>
        </w:rPr>
        <w:fldChar w:fldCharType="separate"/>
      </w:r>
      <w:r>
        <w:rPr>
          <w:rFonts w:hint="default" w:ascii="Times New Roman" w:hAnsi="Times New Roman" w:eastAsia="楷体" w:cs="Times New Roman"/>
          <w:szCs w:val="32"/>
        </w:rPr>
        <w:t>第三节 着力加强规划实施评估</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_Toc7136 </w:instrText>
      </w:r>
      <w:r>
        <w:rPr>
          <w:rFonts w:hint="default" w:ascii="Times New Roman" w:hAnsi="Times New Roman" w:cs="Times New Roman"/>
        </w:rPr>
        <w:fldChar w:fldCharType="separate"/>
      </w:r>
      <w:r>
        <w:rPr>
          <w:rFonts w:hint="default" w:ascii="Times New Roman" w:hAnsi="Times New Roman" w:cs="Times New Roman"/>
        </w:rPr>
        <w:t>109</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68055945">
      <w:pPr>
        <w:pStyle w:val="14"/>
        <w:tabs>
          <w:tab w:val="right" w:leader="dot" w:pos="8306"/>
        </w:tabs>
        <w:rPr>
          <w:rFonts w:hint="default" w:ascii="Times New Roman" w:hAnsi="Times New Roman" w:cs="Times New Roman"/>
        </w:rPr>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_Toc30644 </w:instrText>
      </w:r>
      <w:r>
        <w:rPr>
          <w:rFonts w:hint="default" w:ascii="Times New Roman" w:hAnsi="Times New Roman" w:cs="Times New Roman"/>
          <w:bCs w:val="0"/>
          <w:szCs w:val="30"/>
        </w:rPr>
        <w:fldChar w:fldCharType="separate"/>
      </w:r>
      <w:r>
        <w:rPr>
          <w:rFonts w:hint="default" w:ascii="Times New Roman" w:hAnsi="Times New Roman" w:eastAsia="方正大标宋简体" w:cs="Times New Roman"/>
          <w:kern w:val="44"/>
          <w:szCs w:val="44"/>
        </w:rPr>
        <w:t>部分名词解释</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_Toc30644 </w:instrText>
      </w:r>
      <w:r>
        <w:rPr>
          <w:rFonts w:hint="default" w:ascii="Times New Roman" w:hAnsi="Times New Roman" w:cs="Times New Roman"/>
        </w:rPr>
        <w:fldChar w:fldCharType="separate"/>
      </w:r>
      <w:r>
        <w:rPr>
          <w:rFonts w:hint="default" w:ascii="Times New Roman" w:hAnsi="Times New Roman" w:cs="Times New Roman"/>
        </w:rPr>
        <w:t>111</w:t>
      </w:r>
      <w:r>
        <w:rPr>
          <w:rFonts w:hint="default" w:ascii="Times New Roman" w:hAnsi="Times New Roman" w:cs="Times New Roman"/>
        </w:rPr>
        <w:fldChar w:fldCharType="end"/>
      </w:r>
      <w:r>
        <w:rPr>
          <w:rFonts w:hint="default" w:ascii="Times New Roman" w:hAnsi="Times New Roman" w:cs="Times New Roman"/>
          <w:bCs w:val="0"/>
          <w:szCs w:val="30"/>
        </w:rPr>
        <w:fldChar w:fldCharType="end"/>
      </w:r>
    </w:p>
    <w:p w14:paraId="5958E994">
      <w:pPr>
        <w:pStyle w:val="2"/>
        <w:widowControl/>
        <w:overflowPunct w:val="0"/>
        <w:adjustRightInd w:val="0"/>
        <w:spacing w:before="0" w:after="0" w:line="480" w:lineRule="exact"/>
        <w:jc w:val="both"/>
        <w:rPr>
          <w:rFonts w:hint="default" w:ascii="Times New Roman" w:hAnsi="Times New Roman" w:eastAsia="黑体" w:cs="Times New Roman"/>
          <w:b w:val="0"/>
          <w:bCs w:val="0"/>
          <w:kern w:val="2"/>
          <w:sz w:val="28"/>
          <w:szCs w:val="32"/>
        </w:rPr>
        <w:sectPr>
          <w:footerReference r:id="rId8" w:type="default"/>
          <w:pgSz w:w="11906" w:h="16838"/>
          <w:pgMar w:top="1440" w:right="1800" w:bottom="1440" w:left="1800" w:header="851" w:footer="992" w:gutter="0"/>
          <w:pgBorders>
            <w:top w:val="none" w:sz="0" w:space="0"/>
            <w:left w:val="none" w:sz="0" w:space="0"/>
            <w:bottom w:val="none" w:sz="0" w:space="0"/>
            <w:right w:val="none" w:sz="0" w:space="0"/>
          </w:pgBorders>
          <w:pgNumType w:fmt="upperRoman" w:start="1"/>
          <w:cols w:space="425" w:num="1"/>
          <w:docGrid w:type="lines" w:linePitch="312" w:charSpace="0"/>
        </w:sectPr>
      </w:pPr>
      <w:r>
        <w:rPr>
          <w:rFonts w:hint="default" w:ascii="Times New Roman" w:hAnsi="Times New Roman" w:cs="Times New Roman"/>
          <w:bCs w:val="0"/>
          <w:szCs w:val="30"/>
        </w:rPr>
        <w:fldChar w:fldCharType="end"/>
      </w:r>
      <w:bookmarkStart w:id="49" w:name="_Toc14256"/>
      <w:bookmarkStart w:id="50" w:name="_Toc15043"/>
      <w:bookmarkStart w:id="51" w:name="_Toc27601"/>
      <w:bookmarkStart w:id="52" w:name="_Toc24069"/>
    </w:p>
    <w:bookmarkEnd w:id="49"/>
    <w:bookmarkEnd w:id="50"/>
    <w:bookmarkEnd w:id="51"/>
    <w:bookmarkEnd w:id="52"/>
    <w:p w14:paraId="53D3A376">
      <w:pPr>
        <w:pStyle w:val="2"/>
        <w:widowControl/>
        <w:overflowPunct w:val="0"/>
        <w:autoSpaceDE w:val="0"/>
        <w:adjustRightInd w:val="0"/>
        <w:spacing w:before="0" w:after="0" w:line="600" w:lineRule="exact"/>
        <w:jc w:val="center"/>
        <w:rPr>
          <w:rFonts w:hint="default" w:ascii="Times New Roman" w:hAnsi="Times New Roman" w:eastAsia="方正大标宋简体" w:cs="Times New Roman"/>
          <w:b w:val="0"/>
          <w:bCs w:val="0"/>
          <w:szCs w:val="36"/>
        </w:rPr>
      </w:pPr>
      <w:bookmarkStart w:id="53" w:name="_Toc5369"/>
      <w:bookmarkStart w:id="54" w:name="_Toc8599"/>
      <w:bookmarkStart w:id="55" w:name="_Toc23445"/>
      <w:bookmarkStart w:id="56" w:name="_Toc30597"/>
      <w:bookmarkStart w:id="57" w:name="_Toc218010901"/>
      <w:bookmarkStart w:id="58" w:name="_Toc23464"/>
      <w:r>
        <w:rPr>
          <w:rFonts w:hint="default" w:ascii="Times New Roman" w:hAnsi="Times New Roman" w:eastAsia="方正大标宋简体" w:cs="Times New Roman"/>
          <w:b w:val="0"/>
          <w:bCs w:val="0"/>
          <w:szCs w:val="36"/>
        </w:rPr>
        <w:t>第一篇 谱写中国式现代化昆山新篇章</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53"/>
      <w:bookmarkEnd w:id="54"/>
      <w:bookmarkEnd w:id="55"/>
      <w:bookmarkEnd w:id="56"/>
      <w:bookmarkEnd w:id="57"/>
      <w:bookmarkEnd w:id="58"/>
    </w:p>
    <w:p w14:paraId="72E18ECA">
      <w:pPr>
        <w:overflowPunct w:val="0"/>
        <w:autoSpaceDE w:val="0"/>
        <w:adjustRightInd w:val="0"/>
        <w:spacing w:before="156" w:beforeLines="50" w:after="156" w:afterLines="50" w:line="600" w:lineRule="exact"/>
        <w:jc w:val="center"/>
        <w:outlineLvl w:val="1"/>
        <w:rPr>
          <w:rFonts w:hint="default" w:ascii="Times New Roman" w:hAnsi="Times New Roman" w:eastAsia="楷体" w:cs="Times New Roman"/>
          <w:sz w:val="32"/>
          <w:szCs w:val="32"/>
        </w:rPr>
      </w:pPr>
      <w:bookmarkStart w:id="59" w:name="_Toc29539"/>
      <w:bookmarkStart w:id="60" w:name="_Toc3819"/>
      <w:bookmarkStart w:id="61" w:name="_Toc9122"/>
      <w:bookmarkStart w:id="62" w:name="_Toc16155"/>
      <w:bookmarkStart w:id="63" w:name="_Toc9540"/>
      <w:bookmarkStart w:id="64" w:name="_Toc4589"/>
      <w:bookmarkStart w:id="65" w:name="_Toc8212"/>
      <w:bookmarkStart w:id="66" w:name="_Toc26271"/>
      <w:bookmarkStart w:id="67" w:name="_Toc21658"/>
      <w:bookmarkStart w:id="68" w:name="_Toc22381"/>
      <w:bookmarkStart w:id="69" w:name="_Toc8269"/>
      <w:bookmarkStart w:id="70" w:name="_Toc31796"/>
      <w:bookmarkStart w:id="71" w:name="_Toc218010902"/>
      <w:bookmarkStart w:id="72" w:name="_Toc2507"/>
      <w:bookmarkStart w:id="73" w:name="_Toc12537"/>
      <w:bookmarkStart w:id="74" w:name="_Toc30212"/>
      <w:bookmarkStart w:id="75" w:name="_Toc16634"/>
      <w:bookmarkStart w:id="76" w:name="_Toc25483"/>
      <w:bookmarkStart w:id="77" w:name="_Toc29570"/>
      <w:bookmarkStart w:id="78" w:name="_Toc14858"/>
      <w:bookmarkStart w:id="79" w:name="_Toc6279"/>
      <w:r>
        <w:rPr>
          <w:rFonts w:hint="default" w:ascii="Times New Roman" w:hAnsi="Times New Roman" w:eastAsia="黑体" w:cs="Times New Roman"/>
          <w:sz w:val="32"/>
          <w:szCs w:val="32"/>
        </w:rPr>
        <w:t>第一章  中国式现代化昆山新实践迈出新的坚实步伐</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77EC6AF7">
      <w:pPr>
        <w:widowControl/>
        <w:overflowPunct w:val="0"/>
        <w:autoSpaceDE w:val="0"/>
        <w:adjustRightInd w:val="0"/>
        <w:spacing w:after="0" w:line="600" w:lineRule="exact"/>
        <w:jc w:val="center"/>
        <w:outlineLvl w:val="2"/>
        <w:rPr>
          <w:rFonts w:hint="default" w:ascii="Times New Roman" w:hAnsi="Times New Roman" w:eastAsia="楷体" w:cs="Times New Roman"/>
          <w:sz w:val="32"/>
          <w:szCs w:val="32"/>
        </w:rPr>
      </w:pPr>
      <w:bookmarkStart w:id="80" w:name="_Toc27586"/>
      <w:bookmarkStart w:id="81" w:name="_Toc14201"/>
      <w:bookmarkStart w:id="82" w:name="_Toc2694"/>
      <w:bookmarkStart w:id="83" w:name="_Toc29923"/>
      <w:bookmarkStart w:id="84" w:name="_Toc6620"/>
      <w:bookmarkStart w:id="85" w:name="_Toc218010903"/>
      <w:bookmarkStart w:id="86" w:name="_Toc27604"/>
      <w:bookmarkStart w:id="87" w:name="_Toc1342"/>
      <w:bookmarkStart w:id="88" w:name="_Toc27640"/>
      <w:bookmarkStart w:id="89" w:name="_Toc6913"/>
      <w:bookmarkStart w:id="90" w:name="_Toc13751"/>
      <w:bookmarkStart w:id="91" w:name="_Toc23649"/>
      <w:bookmarkStart w:id="92" w:name="_Toc10829"/>
      <w:bookmarkStart w:id="93" w:name="_Toc15664"/>
      <w:bookmarkStart w:id="94" w:name="_Toc14564"/>
      <w:bookmarkStart w:id="95" w:name="_Toc10842"/>
      <w:bookmarkStart w:id="96" w:name="_Toc9216"/>
      <w:bookmarkStart w:id="97" w:name="_Toc30471"/>
      <w:bookmarkStart w:id="98" w:name="_Toc26196"/>
      <w:bookmarkStart w:id="99" w:name="_Toc21919"/>
      <w:bookmarkStart w:id="100" w:name="_Toc30151"/>
      <w:r>
        <w:rPr>
          <w:rFonts w:hint="default" w:ascii="Times New Roman" w:hAnsi="Times New Roman" w:eastAsia="楷体" w:cs="Times New Roman"/>
          <w:sz w:val="32"/>
          <w:szCs w:val="32"/>
        </w:rPr>
        <w:t>第一节 发展基础</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0D795B60">
      <w:pPr>
        <w:widowControl/>
        <w:overflowPunct w:val="0"/>
        <w:autoSpaceDE w:val="0"/>
        <w:adjustRightInd w:val="0"/>
        <w:spacing w:after="0" w:line="600" w:lineRule="exact"/>
        <w:ind w:firstLine="652"/>
        <w:jc w:val="both"/>
        <w:rPr>
          <w:rFonts w:hint="default" w:ascii="Times New Roman" w:hAnsi="Times New Roman" w:eastAsia="楷体" w:cs="Times New Roman"/>
          <w:sz w:val="32"/>
          <w:szCs w:val="32"/>
        </w:rPr>
      </w:pPr>
      <w:bookmarkStart w:id="101" w:name="_Toc29537"/>
      <w:bookmarkStart w:id="102" w:name="_Toc16544"/>
      <w:bookmarkStart w:id="103" w:name="_Toc4999"/>
      <w:bookmarkStart w:id="104" w:name="_Toc5238"/>
      <w:bookmarkStart w:id="105" w:name="_Toc22452"/>
      <w:bookmarkStart w:id="106" w:name="_Toc24609"/>
      <w:bookmarkStart w:id="107" w:name="_Toc10116"/>
      <w:bookmarkStart w:id="108" w:name="_Toc8155"/>
      <w:bookmarkStart w:id="109" w:name="_Toc21428"/>
      <w:bookmarkStart w:id="110" w:name="_Toc2337"/>
      <w:bookmarkStart w:id="111" w:name="_Toc24650"/>
      <w:bookmarkStart w:id="112" w:name="_Toc5580"/>
      <w:bookmarkStart w:id="113" w:name="_Toc339"/>
      <w:r>
        <w:rPr>
          <w:rFonts w:hint="default" w:ascii="Times New Roman" w:hAnsi="Times New Roman" w:eastAsia="仿宋_GB2312" w:cs="Times New Roman"/>
          <w:color w:val="000000"/>
          <w:kern w:val="0"/>
          <w:sz w:val="32"/>
          <w:szCs w:val="32"/>
        </w:rPr>
        <w:t>“十四五”时期，是昆山发展历程中极不寻常、极不平凡的五年。面对严峻复杂的国内外环境和超预期的多重压力挑战，昆山坚持以习近平新时代中国特色社会主义思想为指导，全面贯彻习近平总书记对江苏、苏州、昆山工作重要讲话指示精神，认真落实党中央决策部署和省委、苏州市委工作要求，牢记嘱托、感恩奋进，深入实施12项现代化建设行动计划，“强富美高”新昆山建设取得显著成效，习近平总书记“勾画现代化目标”殷殷嘱托正在转化为现实图景。</w:t>
      </w:r>
    </w:p>
    <w:p w14:paraId="69AED881">
      <w:pPr>
        <w:widowControl/>
        <w:overflowPunct w:val="0"/>
        <w:autoSpaceDE w:val="0"/>
        <w:adjustRightInd w:val="0"/>
        <w:spacing w:after="0" w:line="600" w:lineRule="exact"/>
        <w:ind w:firstLine="653"/>
        <w:jc w:val="both"/>
        <w:rPr>
          <w:rFonts w:hint="default" w:ascii="Times New Roman" w:hAnsi="Times New Roman" w:eastAsia="楷体" w:cs="Times New Roman"/>
          <w:sz w:val="32"/>
          <w:szCs w:val="32"/>
        </w:rPr>
      </w:pPr>
      <w:r>
        <w:rPr>
          <w:rFonts w:hint="default" w:ascii="Times New Roman" w:hAnsi="Times New Roman" w:eastAsia="楷体" w:cs="Times New Roman"/>
          <w:sz w:val="32"/>
          <w:szCs w:val="32"/>
        </w:rPr>
        <w:t>综合实力迈上新台阶。</w:t>
      </w:r>
      <w:r>
        <w:rPr>
          <w:rFonts w:hint="default" w:ascii="Times New Roman" w:hAnsi="Times New Roman" w:eastAsia="仿宋_GB2312" w:cs="Times New Roman"/>
          <w:color w:val="000000"/>
          <w:kern w:val="0"/>
          <w:sz w:val="32"/>
          <w:szCs w:val="32"/>
        </w:rPr>
        <w:t>积极应对世纪疫情、中美贸易摩擦等风险挑战，制定实施稳经济促发展惠民生系列政策，推动经济在高基数上稳增长、快转型。成为全国首个地区生产总值突破5000亿元的县级市，总量达5615</w:t>
      </w:r>
      <w:r>
        <w:rPr>
          <w:rFonts w:hint="default" w:ascii="Times New Roman" w:hAnsi="Times New Roman" w:eastAsia="仿宋_GB2312" w:cs="Times New Roman"/>
          <w:color w:val="000000"/>
          <w:kern w:val="0"/>
          <w:sz w:val="32"/>
          <w:szCs w:val="32"/>
          <w:lang w:val="en-US" w:eastAsia="zh-CN"/>
        </w:rPr>
        <w:t>.3</w:t>
      </w:r>
      <w:r>
        <w:rPr>
          <w:rFonts w:hint="default" w:ascii="Times New Roman" w:hAnsi="Times New Roman" w:eastAsia="仿宋_GB2312" w:cs="Times New Roman"/>
          <w:color w:val="000000"/>
          <w:kern w:val="0"/>
          <w:sz w:val="32"/>
          <w:szCs w:val="32"/>
        </w:rPr>
        <w:t>亿元，年均增长5.5%，人均地区生产总值超3.5万美元。规上工业总产值连跨四个千亿级台阶，突破1.3万亿元，进出口总额超8000亿元，社会消费品零售总额超1800亿元。综合实力连续21年位居全国百强县（市）首位，跻身全国</w:t>
      </w:r>
      <w:r>
        <w:rPr>
          <w:rFonts w:hint="default" w:ascii="Times New Roman" w:hAnsi="Times New Roman" w:eastAsia="仿宋_GB2312" w:cs="Times New Roman"/>
          <w:sz w:val="32"/>
          <w:szCs w:val="32"/>
        </w:rPr>
        <w:t>Ⅱ型大城市，</w:t>
      </w:r>
      <w:r>
        <w:rPr>
          <w:rFonts w:hint="default" w:ascii="Times New Roman" w:hAnsi="Times New Roman" w:eastAsia="仿宋_GB2312" w:cs="Times New Roman"/>
          <w:color w:val="000000"/>
          <w:kern w:val="0"/>
          <w:sz w:val="32"/>
          <w:szCs w:val="32"/>
        </w:rPr>
        <w:t>9个镇入围全国千强镇百强、4个镇跻身前十，玉山镇保持全国第一，昆山开发区稳居国家级经开区前五，昆山高新区在国家高新区综合排名中提升至第31位。</w:t>
      </w:r>
    </w:p>
    <w:p w14:paraId="3416BAC1">
      <w:pPr>
        <w:overflowPunct w:val="0"/>
        <w:spacing w:after="0" w:line="600" w:lineRule="exact"/>
        <w:ind w:firstLine="640" w:firstLineChars="200"/>
        <w:jc w:val="both"/>
        <w:rPr>
          <w:rFonts w:hint="default" w:ascii="Times New Roman" w:hAnsi="Times New Roman" w:eastAsia="仿宋_GB2312" w:cs="Times New Roman"/>
          <w:color w:val="000000"/>
          <w:sz w:val="32"/>
          <w:szCs w:val="32"/>
        </w:rPr>
      </w:pPr>
      <w:r>
        <w:rPr>
          <w:rFonts w:hint="default" w:ascii="Times New Roman" w:hAnsi="Times New Roman" w:eastAsia="楷体" w:cs="Times New Roman"/>
          <w:sz w:val="32"/>
          <w:szCs w:val="32"/>
        </w:rPr>
        <w:t>产业集群焕发新活力。</w:t>
      </w:r>
      <w:r>
        <w:rPr>
          <w:rFonts w:hint="default" w:ascii="Times New Roman" w:hAnsi="Times New Roman" w:eastAsia="仿宋_GB2312" w:cs="Times New Roman"/>
          <w:color w:val="000000"/>
          <w:kern w:val="0"/>
          <w:sz w:val="32"/>
          <w:szCs w:val="32"/>
        </w:rPr>
        <w:t>电子信息、装备制造两大主导产业整体规模突破1万亿元，战略性新兴产业占比提升至62%，较“十三五”末提高6.8个百分点。新兴产业发展渐入佳境，智能网联汽车、具身智能、低空飞行器、高端食品、时尚创意、消费医疗等产业加速壮大，建设国内首条4.5代Micro LED量产线，一批重点企业切入AI服务器产业赛道，成功研发全球首款完成“适航三证”吨级以上eVTOL，形成从“一颗水果”到“一杯果汁”，“一粒小麦”到“一片面包”高端食品产业链。</w:t>
      </w:r>
      <w:r>
        <w:rPr>
          <w:rFonts w:hint="default" w:ascii="Times New Roman" w:hAnsi="Times New Roman" w:eastAsia="仿宋_GB2312" w:cs="Times New Roman"/>
          <w:sz w:val="32"/>
          <w:szCs w:val="32"/>
        </w:rPr>
        <w:t>加快推动先进制造业和现代服务业深度融合，</w:t>
      </w:r>
      <w:r>
        <w:rPr>
          <w:rFonts w:hint="default" w:ascii="Times New Roman" w:hAnsi="Times New Roman" w:eastAsia="仿宋_GB2312" w:cs="Times New Roman"/>
          <w:color w:val="000000"/>
          <w:kern w:val="0"/>
          <w:sz w:val="32"/>
          <w:szCs w:val="32"/>
        </w:rPr>
        <w:t>生产性服务业占服务业增加值比重提升至53.5%，拥有苏州市级以上总部企业和功能性机构107家。</w:t>
      </w:r>
    </w:p>
    <w:p w14:paraId="0A61351F">
      <w:pPr>
        <w:widowControl/>
        <w:overflowPunct w:val="0"/>
        <w:spacing w:after="0" w:line="600" w:lineRule="exact"/>
        <w:ind w:firstLine="640" w:firstLineChars="200"/>
        <w:jc w:val="both"/>
        <w:rPr>
          <w:rFonts w:hint="default" w:ascii="Times New Roman" w:hAnsi="Times New Roman" w:eastAsia="仿宋_GB2312" w:cs="Times New Roman"/>
          <w:color w:val="000000"/>
          <w:kern w:val="0"/>
          <w:sz w:val="32"/>
          <w:szCs w:val="32"/>
          <w:lang w:bidi="ar"/>
        </w:rPr>
      </w:pPr>
      <w:r>
        <w:rPr>
          <w:rFonts w:hint="default" w:ascii="Times New Roman" w:hAnsi="Times New Roman" w:eastAsia="楷体" w:cs="Times New Roman"/>
          <w:sz w:val="32"/>
          <w:szCs w:val="32"/>
        </w:rPr>
        <w:t>产创融合集聚新动能。</w:t>
      </w:r>
      <w:r>
        <w:rPr>
          <w:rFonts w:hint="default" w:ascii="Times New Roman" w:hAnsi="Times New Roman" w:eastAsia="仿宋_GB2312" w:cs="Times New Roman"/>
          <w:color w:val="000000"/>
          <w:kern w:val="0"/>
          <w:sz w:val="32"/>
          <w:szCs w:val="32"/>
        </w:rPr>
        <w:t>科创资源高效集聚，深时数字地球国际大科学计划获国务院批复正式立项，昆山杜克大学获批建设国际合作教育样板区，中科可控筹建国家自主软硬件协同计算技术创新中心，维信诺建设全球新型显示产业创新中心，</w:t>
      </w:r>
      <w:r>
        <w:rPr>
          <w:rFonts w:hint="default" w:ascii="Times New Roman" w:hAnsi="Times New Roman" w:eastAsia="仿宋_GB2312" w:cs="Times New Roman"/>
          <w:sz w:val="32"/>
          <w:szCs w:val="32"/>
        </w:rPr>
        <w:t>落地具身智能创新中心</w:t>
      </w:r>
      <w:r>
        <w:rPr>
          <w:rFonts w:hint="default" w:ascii="Times New Roman" w:hAnsi="Times New Roman" w:eastAsia="仿宋_GB2312" w:cs="Times New Roman"/>
          <w:color w:val="000000"/>
          <w:kern w:val="0"/>
          <w:sz w:val="32"/>
          <w:szCs w:val="32"/>
        </w:rPr>
        <w:t>。</w:t>
      </w:r>
      <w:r>
        <w:rPr>
          <w:rFonts w:hint="default" w:ascii="Times New Roman" w:hAnsi="Times New Roman" w:eastAsia="仿宋_GB2312" w:cs="Times New Roman"/>
          <w:sz w:val="32"/>
          <w:szCs w:val="32"/>
          <w:lang w:bidi="ar"/>
        </w:rPr>
        <w:t>全社会研发投入占比提高至3.9%</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000000"/>
          <w:kern w:val="0"/>
          <w:sz w:val="32"/>
          <w:szCs w:val="32"/>
        </w:rPr>
        <w:t>万人高价值发明专利拥有量达</w:t>
      </w:r>
      <w:r>
        <w:rPr>
          <w:rFonts w:hint="default" w:ascii="Times New Roman" w:hAnsi="Times New Roman" w:eastAsia="仿宋_GB2312" w:cs="Times New Roman"/>
          <w:color w:val="000000"/>
          <w:kern w:val="0"/>
          <w:sz w:val="32"/>
          <w:szCs w:val="32"/>
          <w:lang w:val="en-US" w:eastAsia="zh-CN"/>
        </w:rPr>
        <w:t>60.1</w:t>
      </w:r>
      <w:r>
        <w:rPr>
          <w:rFonts w:hint="default" w:ascii="Times New Roman" w:hAnsi="Times New Roman" w:eastAsia="仿宋_GB2312" w:cs="Times New Roman"/>
          <w:color w:val="000000"/>
          <w:kern w:val="0"/>
          <w:sz w:val="32"/>
          <w:szCs w:val="32"/>
        </w:rPr>
        <w:t>件，</w:t>
      </w:r>
      <w:r>
        <w:rPr>
          <w:rFonts w:hint="default" w:ascii="Times New Roman" w:hAnsi="Times New Roman" w:eastAsia="仿宋_GB2312" w:cs="Times New Roman"/>
          <w:sz w:val="32"/>
          <w:szCs w:val="32"/>
        </w:rPr>
        <w:t>规上工业企业研发机构实现动态全覆盖</w:t>
      </w:r>
      <w:r>
        <w:rPr>
          <w:rFonts w:hint="default" w:ascii="Times New Roman" w:hAnsi="Times New Roman" w:eastAsia="仿宋_GB2312" w:cs="Times New Roman"/>
          <w:color w:val="000000"/>
          <w:sz w:val="32"/>
          <w:szCs w:val="32"/>
        </w:rPr>
        <w:t>，获评全国首批创新型县（市）。</w:t>
      </w:r>
      <w:r>
        <w:rPr>
          <w:rFonts w:hint="default" w:ascii="Times New Roman" w:hAnsi="Times New Roman" w:eastAsia="仿宋_GB2312" w:cs="Times New Roman"/>
          <w:color w:val="000000"/>
          <w:kern w:val="0"/>
          <w:sz w:val="32"/>
          <w:szCs w:val="32"/>
          <w:lang w:bidi="ar"/>
        </w:rPr>
        <w:t>主导和参与制修订国际标准17项。科技型中小企业、国家高新技术企业总数分别突破4000家、3500家，累计认定国家级专精特新“小巨人”企业126家，省独角兽（潜在）企业超20家，各类创新联合体90家，上市企业达50家。</w:t>
      </w:r>
      <w:r>
        <w:rPr>
          <w:rFonts w:hint="default" w:ascii="Times New Roman" w:hAnsi="Times New Roman" w:eastAsia="仿宋_GB2312" w:cs="Times New Roman"/>
          <w:color w:val="000000"/>
          <w:kern w:val="0"/>
          <w:sz w:val="32"/>
          <w:szCs w:val="32"/>
          <w:lang w:val="en-US" w:eastAsia="zh-CN" w:bidi="ar"/>
        </w:rPr>
        <w:t>五年</w:t>
      </w:r>
      <w:r>
        <w:rPr>
          <w:rFonts w:hint="default" w:ascii="Times New Roman" w:hAnsi="Times New Roman" w:eastAsia="仿宋_GB2312" w:cs="Times New Roman"/>
          <w:color w:val="000000"/>
          <w:kern w:val="0"/>
          <w:sz w:val="32"/>
          <w:szCs w:val="32"/>
          <w:lang w:bidi="ar"/>
        </w:rPr>
        <w:t>新引进培养国家重大人才工程专家92人、头雁人才（团队）13个</w:t>
      </w:r>
      <w:r>
        <w:rPr>
          <w:rFonts w:hint="default" w:ascii="Times New Roman" w:hAnsi="Times New Roman" w:eastAsia="仿宋_GB2312" w:cs="Times New Roman"/>
          <w:color w:val="000000"/>
          <w:kern w:val="0"/>
          <w:sz w:val="32"/>
          <w:szCs w:val="32"/>
          <w:lang w:eastAsia="zh-CN" w:bidi="ar"/>
        </w:rPr>
        <w:t>。</w:t>
      </w:r>
      <w:r>
        <w:rPr>
          <w:rFonts w:hint="default" w:ascii="Times New Roman" w:hAnsi="Times New Roman" w:eastAsia="仿宋_GB2312" w:cs="Times New Roman"/>
          <w:color w:val="000000"/>
          <w:kern w:val="0"/>
          <w:sz w:val="32"/>
          <w:szCs w:val="32"/>
          <w:lang w:bidi="ar"/>
        </w:rPr>
        <w:t>高层次人才</w:t>
      </w:r>
      <w:r>
        <w:rPr>
          <w:rFonts w:hint="default" w:ascii="Times New Roman" w:hAnsi="Times New Roman" w:eastAsia="仿宋_GB2312" w:cs="Times New Roman"/>
          <w:color w:val="000000"/>
          <w:kern w:val="0"/>
          <w:sz w:val="32"/>
          <w:szCs w:val="32"/>
          <w:lang w:eastAsia="zh-CN" w:bidi="ar"/>
        </w:rPr>
        <w:t>、</w:t>
      </w:r>
      <w:r>
        <w:rPr>
          <w:rFonts w:hint="default" w:ascii="Times New Roman" w:hAnsi="Times New Roman" w:eastAsia="仿宋_GB2312" w:cs="Times New Roman"/>
          <w:color w:val="000000"/>
          <w:kern w:val="0"/>
          <w:sz w:val="32"/>
          <w:szCs w:val="32"/>
          <w:lang w:val="en-US" w:eastAsia="zh-CN" w:bidi="ar"/>
        </w:rPr>
        <w:t>高技能人才累计分别达</w:t>
      </w:r>
      <w:r>
        <w:rPr>
          <w:rFonts w:hint="default" w:ascii="Times New Roman" w:hAnsi="Times New Roman" w:eastAsia="仿宋_GB2312" w:cs="Times New Roman"/>
          <w:color w:val="000000"/>
          <w:kern w:val="0"/>
          <w:sz w:val="32"/>
          <w:szCs w:val="32"/>
          <w:lang w:bidi="ar"/>
        </w:rPr>
        <w:t>6.2万人</w:t>
      </w:r>
      <w:r>
        <w:rPr>
          <w:rFonts w:hint="default" w:ascii="Times New Roman" w:hAnsi="Times New Roman" w:eastAsia="仿宋_GB2312" w:cs="Times New Roman"/>
          <w:color w:val="000000"/>
          <w:kern w:val="0"/>
          <w:sz w:val="32"/>
          <w:szCs w:val="32"/>
          <w:lang w:eastAsia="zh-CN" w:bidi="ar"/>
        </w:rPr>
        <w:t>、</w:t>
      </w:r>
      <w:r>
        <w:rPr>
          <w:rFonts w:hint="default" w:ascii="Times New Roman" w:hAnsi="Times New Roman" w:eastAsia="仿宋_GB2312" w:cs="Times New Roman"/>
          <w:color w:val="000000"/>
          <w:kern w:val="0"/>
          <w:sz w:val="32"/>
          <w:szCs w:val="32"/>
          <w:highlight w:val="none"/>
          <w:lang w:bidi="ar"/>
        </w:rPr>
        <w:t>14.</w:t>
      </w:r>
      <w:r>
        <w:rPr>
          <w:rFonts w:hint="default" w:ascii="Times New Roman" w:hAnsi="Times New Roman" w:eastAsia="仿宋_GB2312" w:cs="Times New Roman"/>
          <w:color w:val="000000"/>
          <w:kern w:val="0"/>
          <w:sz w:val="32"/>
          <w:szCs w:val="32"/>
          <w:highlight w:val="none"/>
          <w:lang w:val="en-US" w:eastAsia="zh-CN" w:bidi="ar"/>
        </w:rPr>
        <w:t>9</w:t>
      </w:r>
      <w:r>
        <w:rPr>
          <w:rFonts w:hint="default" w:ascii="Times New Roman" w:hAnsi="Times New Roman" w:eastAsia="仿宋_GB2312" w:cs="Times New Roman"/>
          <w:color w:val="000000"/>
          <w:kern w:val="0"/>
          <w:sz w:val="32"/>
          <w:szCs w:val="32"/>
          <w:highlight w:val="none"/>
          <w:lang w:bidi="ar"/>
        </w:rPr>
        <w:t>万人</w:t>
      </w:r>
      <w:r>
        <w:rPr>
          <w:rFonts w:hint="default" w:ascii="Times New Roman" w:hAnsi="Times New Roman" w:eastAsia="仿宋_GB2312" w:cs="Times New Roman"/>
          <w:color w:val="000000"/>
          <w:kern w:val="0"/>
          <w:sz w:val="32"/>
          <w:szCs w:val="32"/>
          <w:lang w:bidi="ar"/>
        </w:rPr>
        <w:t>。</w:t>
      </w:r>
    </w:p>
    <w:p w14:paraId="28B89DE7">
      <w:pPr>
        <w:widowControl/>
        <w:overflowPunct w:val="0"/>
        <w:autoSpaceDE w:val="0"/>
        <w:adjustRightInd w:val="0"/>
        <w:spacing w:after="0" w:line="600" w:lineRule="exact"/>
        <w:ind w:firstLine="653"/>
        <w:jc w:val="both"/>
        <w:rPr>
          <w:rFonts w:hint="default" w:ascii="Times New Roman" w:hAnsi="Times New Roman" w:eastAsia="仿宋_GB2312" w:cs="Times New Roman"/>
          <w:color w:val="000000"/>
          <w:kern w:val="0"/>
          <w:sz w:val="32"/>
          <w:szCs w:val="32"/>
        </w:rPr>
      </w:pPr>
      <w:r>
        <w:rPr>
          <w:rFonts w:hint="default" w:ascii="Times New Roman" w:hAnsi="Times New Roman" w:eastAsia="楷体" w:cs="Times New Roman"/>
          <w:sz w:val="32"/>
          <w:szCs w:val="32"/>
        </w:rPr>
        <w:t>内外开放开创新局面。</w:t>
      </w:r>
      <w:r>
        <w:rPr>
          <w:rFonts w:hint="default" w:ascii="Times New Roman" w:hAnsi="Times New Roman" w:eastAsia="仿宋_GB2312" w:cs="Times New Roman"/>
          <w:color w:val="000000"/>
          <w:kern w:val="0"/>
          <w:sz w:val="32"/>
          <w:szCs w:val="32"/>
        </w:rPr>
        <w:t>积极应对风高浪急的外部环境，因企施策打好稳外贸组合拳，外贸规模连续五年稳定在1000亿美元以上</w:t>
      </w:r>
      <w:r>
        <w:rPr>
          <w:rFonts w:hint="default" w:ascii="Times New Roman" w:hAnsi="Times New Roman" w:eastAsia="楷体" w:cs="Times New Roman"/>
          <w:sz w:val="32"/>
          <w:szCs w:val="32"/>
        </w:rPr>
        <w:t>。</w:t>
      </w:r>
      <w:r>
        <w:rPr>
          <w:rFonts w:hint="default" w:ascii="Times New Roman" w:hAnsi="Times New Roman" w:eastAsia="仿宋_GB2312" w:cs="Times New Roman"/>
          <w:color w:val="000000"/>
          <w:sz w:val="32"/>
          <w:szCs w:val="32"/>
        </w:rPr>
        <w:t>获批建设进口贸易促进创新示范区，全国首家备案制综合型航空前置货站启用，昆山开发区入选省级外资总部经济集聚区。</w:t>
      </w:r>
      <w:r>
        <w:rPr>
          <w:rFonts w:hint="default" w:ascii="Times New Roman" w:hAnsi="Times New Roman" w:eastAsia="仿宋_GB2312" w:cs="Times New Roman"/>
          <w:color w:val="000000"/>
          <w:kern w:val="0"/>
          <w:sz w:val="32"/>
          <w:szCs w:val="32"/>
        </w:rPr>
        <w:t>服务贸易新业态不断涌现，跨境电商进出口、中间品贸易实现高速增长，无中生有打造全咖啡产业链，咖啡生豆进口、烘焙产能占全国比重实现“双60%”，荣获“国际咖啡产业之都”称号。五年累计实际使用外资62.4亿美元，企业利润再投资成效显著。高水平建设昆山试验区、昆山金改区，部省际联席会议</w:t>
      </w:r>
      <w:r>
        <w:rPr>
          <w:rFonts w:hint="default" w:ascii="Times New Roman" w:hAnsi="Times New Roman" w:eastAsia="仿宋_GB2312" w:cs="Times New Roman"/>
          <w:color w:val="000000"/>
          <w:sz w:val="32"/>
          <w:szCs w:val="32"/>
        </w:rPr>
        <w:t>累计赋予203条先行先试举措</w:t>
      </w:r>
      <w:r>
        <w:rPr>
          <w:rFonts w:hint="default" w:ascii="Times New Roman" w:hAnsi="Times New Roman" w:eastAsia="仿宋_GB2312" w:cs="Times New Roman"/>
          <w:color w:val="000000"/>
          <w:kern w:val="0"/>
          <w:sz w:val="32"/>
          <w:szCs w:val="32"/>
        </w:rPr>
        <w:t>。昆山纳入虹桥国际枢纽北向拓展带，淀山湖、锦溪、周庄三镇列入长三角生态绿色一体化发展示范区协调区。</w:t>
      </w:r>
    </w:p>
    <w:p w14:paraId="62CB6DE6">
      <w:pPr>
        <w:widowControl/>
        <w:overflowPunct w:val="0"/>
        <w:autoSpaceDE w:val="0"/>
        <w:adjustRightInd w:val="0"/>
        <w:spacing w:after="0" w:line="600" w:lineRule="exact"/>
        <w:ind w:firstLine="653"/>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重点改革获得新突破。</w:t>
      </w:r>
      <w:r>
        <w:rPr>
          <w:rFonts w:hint="default" w:ascii="Times New Roman" w:hAnsi="Times New Roman" w:eastAsia="仿宋_GB2312" w:cs="Times New Roman"/>
          <w:color w:val="000000"/>
          <w:kern w:val="0"/>
          <w:sz w:val="32"/>
          <w:szCs w:val="32"/>
        </w:rPr>
        <w:t>持续擦亮“昆如意”营商服务品牌，优化升级“马上办”服务机制。成立企业重整服务中心、企检服务中心，推行“综合查一次”改革。优化工业用地评审认定、供而未建土地处置机制，完成</w:t>
      </w:r>
      <w:r>
        <w:rPr>
          <w:rFonts w:hint="default" w:ascii="Times New Roman" w:hAnsi="Times New Roman" w:eastAsia="仿宋_GB2312" w:cs="Times New Roman"/>
          <w:color w:val="000000"/>
          <w:sz w:val="32"/>
          <w:szCs w:val="32"/>
        </w:rPr>
        <w:t>存量产业用地更新3.6万亩、</w:t>
      </w:r>
      <w:r>
        <w:rPr>
          <w:rFonts w:hint="default" w:ascii="Times New Roman" w:hAnsi="Times New Roman" w:eastAsia="仿宋_GB2312" w:cs="Times New Roman"/>
          <w:color w:val="000000"/>
          <w:kern w:val="0"/>
          <w:sz w:val="32"/>
          <w:szCs w:val="32"/>
        </w:rPr>
        <w:t>低效用地再开发超1.7万亩，获评全省自然资源节约集约利用模范县，张浦镇全域土地综合整治试点入选全国首批典型案例。昆山市与昆山试验区融合发展体制机制创新改革取得重大突破。国企改革三年行动全面收官，组建数科集团。搭建投资促进公司、产业资本中心、科技招商公司三大专业化招商平台。户籍制度改革稳妥推进，新增户籍人口24.5万人。</w:t>
      </w:r>
    </w:p>
    <w:p w14:paraId="3F20103F">
      <w:pPr>
        <w:widowControl/>
        <w:overflowPunct w:val="0"/>
        <w:autoSpaceDE w:val="0"/>
        <w:adjustRightInd w:val="0"/>
        <w:spacing w:after="0" w:line="600" w:lineRule="exact"/>
        <w:ind w:firstLine="653"/>
        <w:jc w:val="both"/>
        <w:rPr>
          <w:rFonts w:hint="default" w:ascii="Times New Roman" w:hAnsi="Times New Roman" w:eastAsia="仿宋_GB2312" w:cs="Times New Roman"/>
          <w:b/>
          <w:bCs/>
          <w:color w:val="000000"/>
          <w:sz w:val="32"/>
          <w:szCs w:val="32"/>
        </w:rPr>
      </w:pPr>
      <w:r>
        <w:rPr>
          <w:rFonts w:hint="default" w:ascii="Times New Roman" w:hAnsi="Times New Roman" w:eastAsia="楷体" w:cs="Times New Roman"/>
          <w:sz w:val="32"/>
          <w:szCs w:val="32"/>
        </w:rPr>
        <w:t>城市建设展现新形象。</w:t>
      </w:r>
      <w:r>
        <w:rPr>
          <w:rFonts w:hint="default" w:ascii="Times New Roman" w:hAnsi="Times New Roman" w:eastAsia="仿宋_GB2312" w:cs="Times New Roman"/>
          <w:color w:val="000000"/>
          <w:kern w:val="0"/>
          <w:sz w:val="32"/>
          <w:szCs w:val="32"/>
        </w:rPr>
        <w:t>城市建设由“注重基础设施”向“片区更新和基础设施并重”转变，形成以总体规划为统领的“横向到边、纵向到底、覆盖全域”规划体系。城市交通更加便捷，苏州轨交11号线、苏昆中环对接、外环快速化改造等建成通车，昆山南站交通疏解改造、青阳港航道整治等重大工程全面竣工。高标准规划青阳港、玉山、正仪、大渔湾等重点片区，奥体中心、留晖公园、大西门商业街建成开放。改造老旧小区51个、城中村39个，获评中国海绵城市典范。生态底色更加鲜明，空气质量优良天数比率稳定在80%左右，建成“昆山之链”、庙泾河中央水廊等生态廊道37公里，五年新改建口袋公园190个、“昆小薇”项目352个。乡村振兴有力有效，建成高标准农田超7万亩，入选国家乡村振兴示范县、国家农业现代化示范区创建名单，建成省级宜居宜业和美乡村30个、特色田园乡村13个，</w:t>
      </w:r>
      <w:r>
        <w:rPr>
          <w:rFonts w:hint="default" w:ascii="Times New Roman" w:hAnsi="Times New Roman" w:eastAsia="仿宋_GB2312" w:cs="Times New Roman"/>
          <w:snapToGrid w:val="0"/>
          <w:color w:val="000000"/>
          <w:sz w:val="32"/>
          <w:szCs w:val="32"/>
        </w:rPr>
        <w:t>村均总收入超1300万元</w:t>
      </w:r>
      <w:r>
        <w:rPr>
          <w:rFonts w:hint="default" w:ascii="Times New Roman" w:hAnsi="Times New Roman" w:eastAsia="仿宋_GB2312" w:cs="Times New Roman"/>
          <w:color w:val="000000"/>
          <w:sz w:val="32"/>
          <w:szCs w:val="32"/>
        </w:rPr>
        <w:t>。</w:t>
      </w:r>
    </w:p>
    <w:p w14:paraId="3AF123C9">
      <w:pPr>
        <w:overflowPunct w:val="0"/>
        <w:adjustRightInd w:val="0"/>
        <w:spacing w:after="0" w:line="600" w:lineRule="exact"/>
        <w:ind w:firstLine="640" w:firstLineChars="200"/>
        <w:jc w:val="both"/>
        <w:rPr>
          <w:rFonts w:hint="default" w:ascii="Times New Roman" w:hAnsi="Times New Roman" w:eastAsia="仿宋_GB2312" w:cs="Times New Roman"/>
          <w:color w:val="000000"/>
          <w:kern w:val="0"/>
          <w:sz w:val="32"/>
          <w:szCs w:val="32"/>
        </w:rPr>
      </w:pPr>
      <w:r>
        <w:rPr>
          <w:rFonts w:hint="default" w:ascii="Times New Roman" w:hAnsi="Times New Roman" w:eastAsia="楷体" w:cs="Times New Roman"/>
          <w:sz w:val="32"/>
          <w:szCs w:val="32"/>
        </w:rPr>
        <w:t>民生福祉得到新提升。</w:t>
      </w:r>
      <w:r>
        <w:rPr>
          <w:rFonts w:hint="default" w:ascii="Times New Roman" w:hAnsi="Times New Roman" w:eastAsia="仿宋_GB2312" w:cs="Times New Roman"/>
          <w:color w:val="000000"/>
          <w:kern w:val="0"/>
          <w:sz w:val="32"/>
          <w:szCs w:val="32"/>
        </w:rPr>
        <w:t>五年城镇新增就业超40万人，城乡居民收入比缩小至1.7</w:t>
      </w:r>
      <w:r>
        <w:rPr>
          <w:rFonts w:hint="default" w:ascii="Times New Roman" w:hAnsi="Times New Roman" w:eastAsia="仿宋_GB2312" w:cs="Times New Roman"/>
          <w:color w:val="000000"/>
          <w:kern w:val="0"/>
          <w:sz w:val="32"/>
          <w:szCs w:val="32"/>
          <w:lang w:val="en-US" w:eastAsia="zh-CN"/>
        </w:rPr>
        <w:t>5</w:t>
      </w:r>
      <w:r>
        <w:rPr>
          <w:rFonts w:hint="default" w:ascii="Times New Roman" w:hAnsi="Times New Roman" w:eastAsia="仿宋_GB2312" w:cs="Times New Roman"/>
          <w:color w:val="000000"/>
          <w:kern w:val="0"/>
          <w:sz w:val="32"/>
          <w:szCs w:val="32"/>
        </w:rPr>
        <w:t>:1。基本公共服务优质均衡，人均预期寿命超85岁，“15分钟品质生活圈”实现全覆盖。五年建成各类学校88所，新增学位7.8万个，义务教育公办学校全部纳入集团化办学。市一院、中医院</w:t>
      </w:r>
      <w:r>
        <w:rPr>
          <w:rFonts w:hint="default" w:ascii="Times New Roman" w:hAnsi="Times New Roman" w:eastAsia="仿宋_GB2312" w:cs="Times New Roman"/>
          <w:sz w:val="31"/>
          <w:szCs w:val="31"/>
        </w:rPr>
        <w:t>成功通过三甲复审</w:t>
      </w:r>
      <w:r>
        <w:rPr>
          <w:rFonts w:hint="default" w:ascii="Times New Roman" w:hAnsi="Times New Roman" w:eastAsia="仿宋_GB2312" w:cs="Times New Roman"/>
          <w:color w:val="000000"/>
          <w:kern w:val="0"/>
          <w:sz w:val="32"/>
          <w:szCs w:val="32"/>
        </w:rPr>
        <w:t>，紧密型县域医共体建设加快推进，康复医院创成全国县级市首家三级康复医院</w:t>
      </w:r>
      <w:r>
        <w:rPr>
          <w:rFonts w:hint="default" w:ascii="Times New Roman" w:hAnsi="Times New Roman" w:eastAsia="仿宋_GB2312" w:cs="Times New Roman"/>
          <w:kern w:val="0"/>
          <w:sz w:val="32"/>
          <w:szCs w:val="32"/>
        </w:rPr>
        <w:t>，妇保院创成三级妇保院。区域性养老服务中心实现区镇全覆盖，累计建成养老日间照料中心381个，千人托位数达4.</w:t>
      </w:r>
      <w:r>
        <w:rPr>
          <w:rFonts w:hint="default" w:ascii="Times New Roman" w:hAnsi="Times New Roman" w:eastAsia="仿宋_GB2312" w:cs="Times New Roman"/>
          <w:kern w:val="0"/>
          <w:sz w:val="32"/>
          <w:szCs w:val="32"/>
          <w:lang w:val="en-US" w:eastAsia="zh-CN"/>
        </w:rPr>
        <w:t>75</w:t>
      </w:r>
      <w:r>
        <w:rPr>
          <w:rFonts w:hint="default" w:ascii="Times New Roman" w:hAnsi="Times New Roman" w:eastAsia="仿宋_GB2312" w:cs="Times New Roman"/>
          <w:kern w:val="0"/>
          <w:sz w:val="32"/>
          <w:szCs w:val="32"/>
        </w:rPr>
        <w:t>个。</w:t>
      </w:r>
      <w:r>
        <w:rPr>
          <w:rFonts w:hint="default" w:ascii="Times New Roman" w:hAnsi="Times New Roman" w:eastAsia="仿宋_GB2312" w:cs="Times New Roman"/>
          <w:color w:val="000000"/>
          <w:kern w:val="0"/>
          <w:sz w:val="32"/>
          <w:szCs w:val="32"/>
        </w:rPr>
        <w:t>入选国家新型城镇化试点地区、</w:t>
      </w:r>
      <w:r>
        <w:rPr>
          <w:rFonts w:hint="default" w:ascii="Times New Roman" w:hAnsi="Times New Roman" w:eastAsia="仿宋_GB2312" w:cs="Times New Roman"/>
          <w:kern w:val="0"/>
          <w:sz w:val="32"/>
          <w:szCs w:val="32"/>
        </w:rPr>
        <w:t>国家儿童友好城市建设名单。</w:t>
      </w:r>
      <w:r>
        <w:rPr>
          <w:rFonts w:hint="default" w:ascii="Times New Roman" w:hAnsi="Times New Roman" w:eastAsia="仿宋_GB2312" w:cs="Times New Roman"/>
          <w:sz w:val="32"/>
          <w:szCs w:val="32"/>
        </w:rPr>
        <w:t>获评省级文化和旅游产业融合发展示范区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kern w:val="0"/>
          <w:sz w:val="32"/>
          <w:szCs w:val="32"/>
        </w:rPr>
        <w:t>蝉联全国文明城市，建成戏曲百戏博物馆，连续举办七届戏曲百戏盛典，原创作品《看戏》入围群众文化领域最高奖项国家群星奖，人均公共文体设施面积达4.9平方米。完成市级综治中心规范化建设，业委会（物管会）覆盖率达90%。安全生产形势稳中向好，获评全国信访工作示范县、平安中国建设示范县、全国双拥模范城。</w:t>
      </w:r>
    </w:p>
    <w:p w14:paraId="59107B8E">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114" w:name="_Toc218010904"/>
      <w:bookmarkStart w:id="115" w:name="_Toc30604"/>
      <w:bookmarkStart w:id="116" w:name="_Toc16467"/>
      <w:bookmarkStart w:id="117" w:name="_Toc12946"/>
      <w:r>
        <w:rPr>
          <w:rFonts w:hint="default" w:ascii="Times New Roman" w:hAnsi="Times New Roman" w:eastAsia="楷体" w:cs="Times New Roman"/>
          <w:sz w:val="32"/>
          <w:szCs w:val="32"/>
        </w:rPr>
        <w:t xml:space="preserve">第二节 </w:t>
      </w:r>
      <w:bookmarkEnd w:id="101"/>
      <w:bookmarkEnd w:id="102"/>
      <w:bookmarkEnd w:id="103"/>
      <w:bookmarkEnd w:id="104"/>
      <w:bookmarkEnd w:id="105"/>
      <w:bookmarkEnd w:id="106"/>
      <w:bookmarkEnd w:id="107"/>
      <w:bookmarkEnd w:id="108"/>
      <w:bookmarkEnd w:id="109"/>
      <w:bookmarkEnd w:id="110"/>
      <w:bookmarkEnd w:id="111"/>
      <w:bookmarkEnd w:id="112"/>
      <w:bookmarkEnd w:id="113"/>
      <w:r>
        <w:rPr>
          <w:rFonts w:hint="default" w:ascii="Times New Roman" w:hAnsi="Times New Roman" w:eastAsia="楷体" w:cs="Times New Roman"/>
          <w:sz w:val="32"/>
          <w:szCs w:val="32"/>
        </w:rPr>
        <w:t>发展环境</w:t>
      </w:r>
      <w:bookmarkEnd w:id="114"/>
      <w:bookmarkEnd w:id="115"/>
      <w:bookmarkEnd w:id="116"/>
      <w:bookmarkEnd w:id="117"/>
    </w:p>
    <w:p w14:paraId="6D0FC807">
      <w:pPr>
        <w:widowControl/>
        <w:overflowPunct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从国际看</w:t>
      </w:r>
      <w:r>
        <w:rPr>
          <w:rFonts w:hint="default" w:ascii="Times New Roman" w:hAnsi="Times New Roman" w:eastAsia="仿宋_GB2312" w:cs="Times New Roman"/>
          <w:sz w:val="32"/>
          <w:szCs w:val="32"/>
        </w:rPr>
        <w:t>，世界百年变局加速演进，国际形势演变深刻影响国内发展。</w:t>
      </w:r>
      <w:r>
        <w:rPr>
          <w:rFonts w:hint="default" w:ascii="Times New Roman" w:hAnsi="Times New Roman" w:eastAsia="仿宋_GB2312" w:cs="Times New Roman"/>
          <w:color w:val="000000"/>
          <w:kern w:val="0"/>
          <w:sz w:val="32"/>
          <w:szCs w:val="32"/>
        </w:rPr>
        <w:t>以人工智能等为代表的新一轮科技革命和产业革命加速突破，以深海空天、脑机接口、合成生物、新型储能、6G技术等为代表的新产业、新赛道不断涌现。同时，</w:t>
      </w:r>
      <w:r>
        <w:rPr>
          <w:rFonts w:hint="default" w:ascii="Times New Roman" w:hAnsi="Times New Roman" w:eastAsia="仿宋_GB2312" w:cs="Times New Roman"/>
          <w:sz w:val="32"/>
          <w:szCs w:val="32"/>
        </w:rPr>
        <w:t>国际力量对比深刻调整，大国博弈更加复杂激烈，地缘冲突易发多发，国际经济贸易秩序遭遇严峻挑战，世界经济增长动能不足。</w:t>
      </w:r>
    </w:p>
    <w:p w14:paraId="6C034BEA">
      <w:pPr>
        <w:widowControl/>
        <w:overflowPunct w:val="0"/>
        <w:spacing w:after="0" w:line="600" w:lineRule="exact"/>
        <w:ind w:firstLine="640" w:firstLineChars="200"/>
        <w:jc w:val="both"/>
        <w:rPr>
          <w:rFonts w:hint="default" w:ascii="Times New Roman" w:hAnsi="Times New Roman" w:eastAsia="仿宋_GB2312" w:cs="Times New Roman"/>
          <w:color w:val="000000"/>
          <w:kern w:val="0"/>
          <w:sz w:val="32"/>
          <w:szCs w:val="32"/>
        </w:rPr>
      </w:pPr>
      <w:r>
        <w:rPr>
          <w:rFonts w:hint="default" w:ascii="Times New Roman" w:hAnsi="Times New Roman" w:eastAsia="楷体_GB2312" w:cs="Times New Roman"/>
          <w:sz w:val="32"/>
          <w:szCs w:val="32"/>
        </w:rPr>
        <w:t>从国内看</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000000"/>
          <w:kern w:val="0"/>
          <w:sz w:val="32"/>
          <w:szCs w:val="32"/>
        </w:rPr>
        <w:t>我国经济基础稳、优势多、韧性强、潜能大，长期向好的支撑条件和基本趋势没有变，中国特色社会主义制度优势、超大规模市场优势、完整产业体系优势、丰富人才资源优势更加彰显。全省“一中心一基地一枢纽”建设取得重要进展，实体经济不断壮大，科技创新氛围日益浓厚，新质生产力发展势头良好。</w:t>
      </w:r>
    </w:p>
    <w:p w14:paraId="46EE1578">
      <w:pPr>
        <w:widowControl/>
        <w:overflowPunct w:val="0"/>
        <w:spacing w:after="0" w:line="600" w:lineRule="exact"/>
        <w:ind w:firstLine="641"/>
        <w:jc w:val="both"/>
        <w:rPr>
          <w:rFonts w:hint="default" w:ascii="Times New Roman" w:hAnsi="Times New Roman" w:eastAsia="仿宋_GB2312" w:cs="Times New Roman"/>
          <w:color w:val="000000"/>
          <w:kern w:val="0"/>
          <w:sz w:val="32"/>
          <w:szCs w:val="32"/>
        </w:rPr>
      </w:pPr>
      <w:r>
        <w:rPr>
          <w:rFonts w:hint="default" w:ascii="Times New Roman" w:hAnsi="Times New Roman" w:eastAsia="楷体_GB2312" w:cs="Times New Roman"/>
          <w:sz w:val="32"/>
          <w:szCs w:val="32"/>
        </w:rPr>
        <w:t>从昆山看</w:t>
      </w:r>
      <w:r>
        <w:rPr>
          <w:rFonts w:hint="default" w:ascii="Times New Roman" w:hAnsi="Times New Roman" w:eastAsia="仿宋_GB2312" w:cs="Times New Roman"/>
          <w:color w:val="000000"/>
          <w:kern w:val="0"/>
          <w:sz w:val="32"/>
          <w:szCs w:val="32"/>
        </w:rPr>
        <w:t>，经过改革开放以来的接续奋斗，全市形成了坚实的产业基础、完备的产业配套、良好的创新生态和一流的营商环境，各区镇不断争先进位、支撑能力突出，城乡融合发展水平较高，社会和谐安定局面持续巩固。同时，面临新一轮科技革命和产业变革、长三角一体化发展深化等重大战略机遇，临沪对台比较优势持续放大，城市的要素集聚力、人才吸引力、发展承载力等显著增强</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但发展过程中的不平衡不充分问题依然突出，未来五年必须积极应对好六种挑战、系统回答好六个课题。</w:t>
      </w:r>
    </w:p>
    <w:p w14:paraId="4E0D2CD1">
      <w:pPr>
        <w:widowControl/>
        <w:overflowPunct w:val="0"/>
        <w:spacing w:after="0" w:line="600" w:lineRule="exact"/>
        <w:ind w:firstLine="640" w:firstLineChars="200"/>
        <w:rPr>
          <w:rFonts w:hint="default" w:ascii="Times New Roman" w:hAnsi="Times New Roman" w:eastAsia="仿宋_GB2312" w:cs="Times New Roman"/>
          <w:color w:val="000000"/>
          <w:kern w:val="0"/>
          <w:sz w:val="32"/>
          <w:szCs w:val="32"/>
        </w:rPr>
      </w:pPr>
      <w:r>
        <w:rPr>
          <w:rFonts w:hint="default" w:ascii="Times New Roman" w:hAnsi="Times New Roman" w:eastAsia="楷体" w:cs="Times New Roman"/>
          <w:sz w:val="32"/>
          <w:szCs w:val="32"/>
        </w:rPr>
        <w:t>积极应对国际形势变乱冲击的挑战，答好如何维护产业链供应链安全稳定这一课题。</w:t>
      </w:r>
      <w:r>
        <w:rPr>
          <w:rFonts w:hint="default" w:ascii="Times New Roman" w:hAnsi="Times New Roman" w:eastAsia="仿宋_GB2312" w:cs="Times New Roman"/>
          <w:color w:val="000000"/>
          <w:kern w:val="0"/>
          <w:sz w:val="32"/>
          <w:szCs w:val="32"/>
        </w:rPr>
        <w:t>昆山融入全球产业链分工程度深、外向依存度高，主导产业国际产能份额大，受国际经贸斗争影响大，正面临外需下降和内需不足“两难挑战”、产能转移和产能过剩“双重风险”。“十五五”时期必须把稳住产业链龙头企业产能作为重中之重，系统性推进强链补链延链，切实保障产业链供应链韧性安全。</w:t>
      </w:r>
    </w:p>
    <w:p w14:paraId="51FF4902">
      <w:pPr>
        <w:widowControl/>
        <w:overflowPunct w:val="0"/>
        <w:spacing w:after="0" w:line="600" w:lineRule="exact"/>
        <w:ind w:firstLine="641"/>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积极应对新旧动能接续转换的挑战，答好如何实现经济发展在高基数上稳增长这一课题。</w:t>
      </w:r>
      <w:r>
        <w:rPr>
          <w:rFonts w:hint="default" w:ascii="Times New Roman" w:hAnsi="Times New Roman" w:eastAsia="仿宋_GB2312" w:cs="Times New Roman"/>
          <w:color w:val="000000"/>
          <w:kern w:val="0"/>
          <w:sz w:val="32"/>
          <w:szCs w:val="32"/>
        </w:rPr>
        <w:t>传统电</w:t>
      </w:r>
      <w:r>
        <w:rPr>
          <w:rFonts w:hint="default" w:ascii="Times New Roman" w:hAnsi="Times New Roman" w:eastAsia="仿宋_GB2312" w:cs="Times New Roman"/>
          <w:sz w:val="32"/>
          <w:szCs w:val="32"/>
        </w:rPr>
        <w:t>子信息产业占比较高，对龙头企业、头部品牌依赖较大。人工智能、新能源、生物医药、高端食品等新兴产业支撑力还不强，</w:t>
      </w:r>
      <w:r>
        <w:rPr>
          <w:rFonts w:hint="default" w:ascii="Times New Roman" w:hAnsi="Times New Roman" w:eastAsia="仿宋_GB2312" w:cs="Times New Roman"/>
          <w:color w:val="000000"/>
          <w:kern w:val="0"/>
          <w:sz w:val="32"/>
          <w:szCs w:val="32"/>
        </w:rPr>
        <w:t>传统产业数智赋能还不足。“十五五”时期必须</w:t>
      </w:r>
      <w:r>
        <w:rPr>
          <w:rFonts w:hint="default" w:ascii="Times New Roman" w:hAnsi="Times New Roman" w:eastAsia="仿宋_GB2312" w:cs="Times New Roman"/>
          <w:sz w:val="32"/>
          <w:szCs w:val="32"/>
        </w:rPr>
        <w:t>加快经济转型，在稳住基本盘的前提下，更加积极地转方式、优结构、提质效。</w:t>
      </w:r>
    </w:p>
    <w:p w14:paraId="164350C4">
      <w:pPr>
        <w:overflowPunct w:val="0"/>
        <w:spacing w:after="0"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积极应对区域竞争日益加剧的挑战，答好如何增创临沪对台新优势实现发展新跨越这一课题。</w:t>
      </w:r>
      <w:r>
        <w:rPr>
          <w:rFonts w:hint="default" w:ascii="Times New Roman" w:hAnsi="Times New Roman" w:eastAsia="仿宋_GB2312" w:cs="Times New Roman"/>
          <w:sz w:val="32"/>
          <w:szCs w:val="32"/>
        </w:rPr>
        <w:t>随着重大跨区域基础设施建成投用，周边地区均与上海形成紧密交通布局，昆山区位独特优势趋于弱化，中心城市虹吸效应可能增强。两岸关系深刻变化，昆台产业合作面临挑战。</w:t>
      </w:r>
      <w:r>
        <w:rPr>
          <w:rFonts w:hint="default" w:ascii="Times New Roman" w:hAnsi="Times New Roman" w:eastAsia="仿宋_GB2312" w:cs="Times New Roman"/>
          <w:color w:val="000000"/>
          <w:kern w:val="0"/>
          <w:sz w:val="32"/>
          <w:szCs w:val="32"/>
        </w:rPr>
        <w:t>“十五五”时期</w:t>
      </w:r>
      <w:r>
        <w:rPr>
          <w:rFonts w:hint="default" w:ascii="Times New Roman" w:hAnsi="Times New Roman" w:eastAsia="仿宋_GB2312" w:cs="Times New Roman"/>
          <w:sz w:val="32"/>
          <w:szCs w:val="32"/>
        </w:rPr>
        <w:t>必须抓住长三角一体化这一“家门口”机遇，更深层次对接融入上海；更大力度支持台企就地转型，深化昆山试验区、昆山金改区等平台建设，持续打造昆台融合升级版。</w:t>
      </w:r>
    </w:p>
    <w:p w14:paraId="0C6EAC55">
      <w:pPr>
        <w:overflowPunct w:val="0"/>
        <w:spacing w:after="0"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积极应对资源要素持续承压的挑战，答好如何通过开源节流并重提升资源资产资金配置效率这一课题。</w:t>
      </w:r>
      <w:r>
        <w:rPr>
          <w:rFonts w:hint="default" w:ascii="Times New Roman" w:hAnsi="Times New Roman" w:eastAsia="仿宋_GB2312" w:cs="Times New Roman"/>
          <w:sz w:val="32"/>
          <w:szCs w:val="32"/>
        </w:rPr>
        <w:t>财政短期内增收空间有限，支出弹性降低。</w:t>
      </w:r>
      <w:r>
        <w:rPr>
          <w:rFonts w:hint="default" w:ascii="Times New Roman" w:hAnsi="Times New Roman" w:eastAsia="仿宋_GB2312" w:cs="Times New Roman"/>
          <w:color w:val="000000"/>
          <w:kern w:val="0"/>
          <w:sz w:val="32"/>
          <w:szCs w:val="32"/>
        </w:rPr>
        <w:t>土地开发强度较高，</w:t>
      </w:r>
      <w:r>
        <w:rPr>
          <w:rFonts w:hint="default" w:ascii="Times New Roman" w:hAnsi="Times New Roman" w:eastAsia="仿宋_GB2312" w:cs="Times New Roman"/>
          <w:sz w:val="32"/>
          <w:szCs w:val="32"/>
        </w:rPr>
        <w:t>新增项目土地保障难度增大，</w:t>
      </w:r>
      <w:r>
        <w:rPr>
          <w:rFonts w:hint="default" w:ascii="Times New Roman" w:hAnsi="Times New Roman" w:eastAsia="仿宋_GB2312" w:cs="Times New Roman"/>
          <w:color w:val="000000"/>
          <w:kern w:val="0"/>
          <w:sz w:val="32"/>
          <w:szCs w:val="32"/>
        </w:rPr>
        <w:t>存量土地收储成本高。</w:t>
      </w:r>
      <w:r>
        <w:rPr>
          <w:rFonts w:hint="default" w:ascii="Times New Roman" w:hAnsi="Times New Roman" w:eastAsia="仿宋_GB2312" w:cs="Times New Roman"/>
          <w:sz w:val="32"/>
          <w:szCs w:val="32"/>
        </w:rPr>
        <w:t>与我市产业发展相匹配的科创高端人才仍显不足。</w:t>
      </w:r>
      <w:r>
        <w:rPr>
          <w:rFonts w:hint="default" w:ascii="Times New Roman" w:hAnsi="Times New Roman" w:eastAsia="仿宋_GB2312" w:cs="Times New Roman"/>
          <w:color w:val="000000"/>
          <w:kern w:val="0"/>
          <w:sz w:val="32"/>
          <w:szCs w:val="32"/>
        </w:rPr>
        <w:t>“十五五”时期</w:t>
      </w:r>
      <w:r>
        <w:rPr>
          <w:rFonts w:hint="default" w:ascii="Times New Roman" w:hAnsi="Times New Roman" w:eastAsia="仿宋_GB2312" w:cs="Times New Roman"/>
          <w:sz w:val="32"/>
          <w:szCs w:val="32"/>
        </w:rPr>
        <w:t>必须深化投融资体制改革，集中力量抓好土地资源价值提升、国有资产盘活利用，迭代升级人才政策，为高质量发展提供更加坚实的要素保障。</w:t>
      </w:r>
    </w:p>
    <w:p w14:paraId="0646BF92">
      <w:pPr>
        <w:overflowPunct w:val="0"/>
        <w:spacing w:after="0"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积极应对“超县域”管理体量的挑战，答好如何以能力建设为抓手提升基层治理现代化水平这一课题。</w:t>
      </w:r>
      <w:r>
        <w:rPr>
          <w:rFonts w:hint="default" w:ascii="Times New Roman" w:hAnsi="Times New Roman" w:eastAsia="仿宋_GB2312" w:cs="Times New Roman"/>
          <w:color w:val="000000"/>
          <w:kern w:val="0"/>
          <w:sz w:val="32"/>
          <w:szCs w:val="32"/>
        </w:rPr>
        <w:t>县域体制面临“小马拉大车”瓶颈制约，</w:t>
      </w:r>
      <w:r>
        <w:rPr>
          <w:rFonts w:hint="default" w:ascii="Times New Roman" w:hAnsi="Times New Roman" w:eastAsia="仿宋_GB2312" w:cs="Times New Roman"/>
          <w:sz w:val="32"/>
          <w:szCs w:val="32"/>
        </w:rPr>
        <w:t>人口流动性、基础管理量、治安复杂度不断增加，基层力量相对薄弱，专业能力水平有待提升。</w:t>
      </w:r>
      <w:r>
        <w:rPr>
          <w:rFonts w:hint="default" w:ascii="Times New Roman" w:hAnsi="Times New Roman" w:eastAsia="仿宋_GB2312" w:cs="Times New Roman"/>
          <w:color w:val="000000"/>
          <w:kern w:val="0"/>
          <w:sz w:val="32"/>
          <w:szCs w:val="32"/>
        </w:rPr>
        <w:t>“十五五”时期</w:t>
      </w:r>
      <w:r>
        <w:rPr>
          <w:rFonts w:hint="default" w:ascii="Times New Roman" w:hAnsi="Times New Roman" w:eastAsia="仿宋_GB2312" w:cs="Times New Roman"/>
          <w:sz w:val="32"/>
          <w:szCs w:val="32"/>
        </w:rPr>
        <w:t>必须深化治理理念、手段、模式创新，加快人工智能技术在基层治理中的运用，吸引多元力量共建共治共享，为群众提供更多“家门口”优质服务。</w:t>
      </w:r>
    </w:p>
    <w:p w14:paraId="0F1E75A6">
      <w:pPr>
        <w:overflowPunct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积极应对各类隐患交织叠加的挑战，答好如何更好统筹发展和安全这一课题。</w:t>
      </w:r>
      <w:r>
        <w:rPr>
          <w:rFonts w:hint="default" w:ascii="Times New Roman" w:hAnsi="Times New Roman" w:eastAsia="仿宋_GB2312" w:cs="Times New Roman"/>
          <w:color w:val="000000"/>
          <w:kern w:val="0"/>
          <w:sz w:val="32"/>
          <w:szCs w:val="32"/>
        </w:rPr>
        <w:t>群众诉求日益多元，基础设施存在短板，公共服务和社会治理体制亟待完善，城市更新任务艰巨，社会治安、安全生产、网络舆情等领域都面临更多挑战。“十五五”时期</w:t>
      </w:r>
      <w:r>
        <w:rPr>
          <w:rFonts w:hint="default" w:ascii="Times New Roman" w:hAnsi="Times New Roman" w:eastAsia="仿宋_GB2312" w:cs="Times New Roman"/>
          <w:sz w:val="32"/>
          <w:szCs w:val="32"/>
        </w:rPr>
        <w:t>必须把维护安全稳定摆在更加突出的位置，全面抓好各类风险隐患的源头预防、排查预警和多元化解，持续巩固社会和谐安定、人民安居乐业的大好局面。</w:t>
      </w:r>
    </w:p>
    <w:p w14:paraId="3BC46B77">
      <w:pPr>
        <w:overflowPunct w:val="0"/>
        <w:adjustRightInd w:val="0"/>
        <w:spacing w:before="156" w:beforeLines="50" w:after="156" w:afterLines="50" w:line="600" w:lineRule="exact"/>
        <w:jc w:val="center"/>
        <w:outlineLvl w:val="1"/>
        <w:rPr>
          <w:rFonts w:hint="default" w:ascii="Times New Roman" w:hAnsi="Times New Roman" w:eastAsia="黑体" w:cs="Times New Roman"/>
          <w:sz w:val="32"/>
          <w:szCs w:val="32"/>
        </w:rPr>
      </w:pPr>
      <w:bookmarkStart w:id="118" w:name="_Toc31531"/>
      <w:bookmarkStart w:id="119" w:name="_Toc25681"/>
      <w:bookmarkStart w:id="120" w:name="_Toc26055"/>
      <w:bookmarkStart w:id="121" w:name="_Toc31933"/>
      <w:bookmarkStart w:id="122" w:name="_Toc25151"/>
      <w:bookmarkStart w:id="123" w:name="_Toc13264"/>
      <w:bookmarkStart w:id="124" w:name="_Toc24625"/>
      <w:bookmarkStart w:id="125" w:name="_Toc2674"/>
      <w:bookmarkStart w:id="126" w:name="_Toc18988"/>
      <w:bookmarkStart w:id="127" w:name="_Toc23435"/>
      <w:bookmarkStart w:id="128" w:name="_Toc2596"/>
      <w:bookmarkStart w:id="129" w:name="_Toc7637"/>
      <w:bookmarkStart w:id="130" w:name="_Toc29266"/>
      <w:bookmarkStart w:id="131" w:name="_Toc8657"/>
      <w:bookmarkStart w:id="132" w:name="_Toc29415"/>
      <w:bookmarkStart w:id="133" w:name="_Toc12165"/>
      <w:bookmarkStart w:id="134" w:name="_Toc6338"/>
      <w:bookmarkStart w:id="135" w:name="_Toc6169"/>
      <w:bookmarkStart w:id="136" w:name="_Toc11749"/>
      <w:bookmarkStart w:id="137" w:name="_Toc218010905"/>
      <w:bookmarkStart w:id="138" w:name="_Toc11302"/>
      <w:r>
        <w:rPr>
          <w:rFonts w:hint="default" w:ascii="Times New Roman" w:hAnsi="Times New Roman" w:eastAsia="黑体" w:cs="Times New Roman"/>
          <w:sz w:val="32"/>
          <w:szCs w:val="32"/>
        </w:rPr>
        <w:t>第二章 奋力将“勾画现代化目标”嘱托转化为现实图景</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14:paraId="186B9B00">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139" w:name="_Toc19515"/>
      <w:bookmarkStart w:id="140" w:name="_Toc11451"/>
      <w:bookmarkStart w:id="141" w:name="_Toc28927"/>
      <w:bookmarkStart w:id="142" w:name="_Toc23847"/>
      <w:bookmarkStart w:id="143" w:name="_Toc24723"/>
      <w:bookmarkStart w:id="144" w:name="_Toc4160"/>
      <w:bookmarkStart w:id="145" w:name="_Toc27508"/>
      <w:bookmarkStart w:id="146" w:name="_Toc30757"/>
      <w:bookmarkStart w:id="147" w:name="_Toc18539"/>
      <w:bookmarkStart w:id="148" w:name="_Toc25261"/>
      <w:bookmarkStart w:id="149" w:name="_Toc21135"/>
      <w:bookmarkStart w:id="150" w:name="_Toc26776"/>
      <w:bookmarkStart w:id="151" w:name="_Toc13129"/>
      <w:bookmarkStart w:id="152" w:name="_Toc218010906"/>
      <w:bookmarkStart w:id="153" w:name="_Toc2147"/>
      <w:bookmarkStart w:id="154" w:name="_Toc32634"/>
      <w:bookmarkStart w:id="155" w:name="_Toc31827"/>
      <w:bookmarkStart w:id="156" w:name="_Toc5905"/>
      <w:bookmarkStart w:id="157" w:name="_Toc5610"/>
      <w:bookmarkStart w:id="158" w:name="_Toc611"/>
      <w:bookmarkStart w:id="159" w:name="_Toc3186"/>
      <w:r>
        <w:rPr>
          <w:rFonts w:hint="default" w:ascii="Times New Roman" w:hAnsi="Times New Roman" w:eastAsia="楷体" w:cs="Times New Roman"/>
          <w:sz w:val="32"/>
          <w:szCs w:val="32"/>
        </w:rPr>
        <w:t>第一节 指导思想</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14:paraId="0533BE29">
      <w:pPr>
        <w:overflowPunct w:val="0"/>
        <w:adjustRightInd w:val="0"/>
        <w:snapToGrid w:val="0"/>
        <w:spacing w:after="0" w:line="600" w:lineRule="exact"/>
        <w:ind w:firstLine="640" w:firstLineChars="200"/>
        <w:jc w:val="both"/>
        <w:rPr>
          <w:rFonts w:hint="default" w:ascii="Times New Roman" w:hAnsi="Times New Roman" w:eastAsia="仿宋_GB2312" w:cs="Times New Roman"/>
          <w:sz w:val="32"/>
          <w:szCs w:val="32"/>
        </w:rPr>
      </w:pPr>
      <w:bookmarkStart w:id="160" w:name="_Toc4878"/>
      <w:bookmarkStart w:id="161" w:name="_Toc32455"/>
      <w:bookmarkStart w:id="162" w:name="_Toc10257"/>
      <w:r>
        <w:rPr>
          <w:rFonts w:hint="default" w:ascii="Times New Roman" w:hAnsi="Times New Roman" w:eastAsia="仿宋_GB2312" w:cs="Times New Roman"/>
          <w:sz w:val="32"/>
          <w:szCs w:val="32"/>
        </w:rPr>
        <w:t>坚持马克思列宁主义、毛泽东思想、邓小平理论、“三个代表”重要思想、科学发展观，全面贯彻习近平新时代中国特色社会主义思想，深入贯彻党的二十大和二十届历次全会精神，把学习贯彻习近平总书记对江苏、苏州、昆山工作重要讲话重要指示精神作为主线，牢牢把握“在推进中国式现代化中走在前、做示范”战略定位，牢牢把握“争当表率、争做示范、走在前列”总体要求，始终牢记“勾画现代化目标”殷殷嘱托，统筹推进“五位一体”总体布局，协调推进“四个全面”战略布局，完整准确全面贯彻新发展理念，服务加快构建新发展格局，坚持稳中求进工作总基调，坚持以经济建设为中心，以推动高质量发展为主题，以改革创新为根本动力，以满足人民日益增长的美好生活需要为根本目的，以全面从严治党为根本保障，突出“开放创新”双轮驱动，突出“产城人文”四维融合，因地制宜发展新质生产力，扎实推进新型工业化，推动经济实现质的有效提升和量的合理增长，推动人的全面发展、全体人民共同富裕迈出坚实步伐，奋力走好新时代“昆山之路”，确保基本实现社会主义现代化取得决定性进展。</w:t>
      </w:r>
    </w:p>
    <w:bookmarkEnd w:id="160"/>
    <w:bookmarkEnd w:id="161"/>
    <w:bookmarkEnd w:id="162"/>
    <w:p w14:paraId="3683C5AD">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163" w:name="_Toc11933"/>
      <w:bookmarkStart w:id="164" w:name="_Toc30216"/>
      <w:bookmarkStart w:id="165" w:name="_Toc6130"/>
      <w:bookmarkStart w:id="166" w:name="_Toc12835"/>
      <w:bookmarkStart w:id="167" w:name="_Toc11336"/>
      <w:bookmarkStart w:id="168" w:name="_Toc218010907"/>
      <w:bookmarkStart w:id="169" w:name="_Toc21483"/>
      <w:bookmarkStart w:id="170" w:name="_Toc30103"/>
      <w:bookmarkStart w:id="171" w:name="_Toc32385"/>
      <w:bookmarkStart w:id="172" w:name="_Toc22303"/>
      <w:bookmarkStart w:id="173" w:name="_Toc9241"/>
      <w:bookmarkStart w:id="174" w:name="_Toc27916"/>
      <w:bookmarkStart w:id="175" w:name="_Toc15698"/>
      <w:bookmarkStart w:id="176" w:name="_Toc2502"/>
      <w:bookmarkStart w:id="177" w:name="_Toc10931"/>
      <w:bookmarkStart w:id="178" w:name="_Toc18491"/>
      <w:bookmarkStart w:id="179" w:name="_Toc7606"/>
      <w:bookmarkStart w:id="180" w:name="_Toc21364"/>
      <w:bookmarkStart w:id="181" w:name="_Toc21107"/>
      <w:bookmarkStart w:id="182" w:name="_Toc28476"/>
      <w:bookmarkStart w:id="183" w:name="_Toc12605"/>
      <w:r>
        <w:rPr>
          <w:rFonts w:hint="default" w:ascii="Times New Roman" w:hAnsi="Times New Roman" w:eastAsia="楷体" w:cs="Times New Roman"/>
          <w:sz w:val="32"/>
          <w:szCs w:val="32"/>
        </w:rPr>
        <w:t>第二节 功能定位</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14:paraId="1CA277D5">
      <w:pPr>
        <w:widowControl/>
        <w:overflowPunct w:val="0"/>
        <w:autoSpaceDE w:val="0"/>
        <w:adjustRightInd w:val="0"/>
        <w:spacing w:after="0" w:line="600" w:lineRule="exact"/>
        <w:ind w:firstLine="640" w:firstLineChars="20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 w:cs="Times New Roman"/>
          <w:sz w:val="32"/>
          <w:szCs w:val="32"/>
        </w:rPr>
        <w:t>创新引领的“智造之城”。</w:t>
      </w:r>
      <w:r>
        <w:rPr>
          <w:rFonts w:hint="default" w:ascii="Times New Roman" w:hAnsi="Times New Roman" w:eastAsia="仿宋_GB2312" w:cs="Times New Roman"/>
          <w:sz w:val="32"/>
          <w:szCs w:val="32"/>
        </w:rPr>
        <w:t>抢抓人工智能发展机遇，推动传统消费电子向智能终端、消费电子向汽车电子、传统装备制造向高端智能制造“三个转型”，着力做好“核心产业+、人工智能+、绿色低碳+”三篇文章，加快产业智改数转网联、绿色低碳改造，推动昆山从电子信息重镇向人工智能产业高地迭变。建设高水平创新型城市，构建以企业为主体的创新体系，促进科技创新和产业创新深度融合，加快新旧动能结构转换，推动昆山从制造之城向智造之城转型，做好苏州经济发展的“压舱石”和“顶梁柱”。</w:t>
      </w:r>
    </w:p>
    <w:p w14:paraId="7CFF88E9">
      <w:pPr>
        <w:widowControl/>
        <w:overflowPunct w:val="0"/>
        <w:autoSpaceDE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融通共赢的“开放之城”。</w:t>
      </w:r>
      <w:r>
        <w:rPr>
          <w:rFonts w:hint="default" w:ascii="Times New Roman" w:hAnsi="Times New Roman" w:eastAsia="仿宋_GB2312" w:cs="Times New Roman"/>
          <w:sz w:val="32"/>
          <w:szCs w:val="32"/>
        </w:rPr>
        <w:t>充分发挥好临沪对台优势，</w:t>
      </w:r>
      <w:r>
        <w:rPr>
          <w:rFonts w:hint="default" w:ascii="Times New Roman" w:hAnsi="Times New Roman" w:eastAsia="仿宋_GB2312" w:cs="Times New Roman"/>
          <w:color w:val="000000" w:themeColor="text1"/>
          <w:sz w:val="32"/>
          <w:szCs w:val="32"/>
          <w14:textFill>
            <w14:solidFill>
              <w14:schemeClr w14:val="tx1"/>
            </w14:solidFill>
          </w14:textFill>
        </w:rPr>
        <w:t>深度融入长三角一体化，全面对接上海“五个中心”、虹桥国际开放枢纽、</w:t>
      </w:r>
      <w:r>
        <w:rPr>
          <w:rFonts w:hint="default" w:ascii="Times New Roman" w:hAnsi="Times New Roman" w:eastAsia="仿宋_GB2312" w:cs="Times New Roman"/>
          <w:sz w:val="32"/>
          <w:szCs w:val="32"/>
        </w:rPr>
        <w:t>嘉昆太</w:t>
      </w:r>
      <w:r>
        <w:rPr>
          <w:rFonts w:hint="default" w:ascii="Times New Roman" w:hAnsi="Times New Roman" w:eastAsia="仿宋_GB2312" w:cs="Times New Roman"/>
          <w:sz w:val="32"/>
          <w:szCs w:val="32"/>
          <w:lang w:val="en-US" w:eastAsia="zh-CN"/>
        </w:rPr>
        <w:t>协同创新核心圈</w:t>
      </w:r>
      <w:r>
        <w:rPr>
          <w:rFonts w:hint="default" w:ascii="Times New Roman" w:hAnsi="Times New Roman" w:eastAsia="仿宋_GB2312" w:cs="Times New Roman"/>
          <w:sz w:val="32"/>
          <w:szCs w:val="32"/>
        </w:rPr>
        <w:t>、华为练秋湖研发中心等重大平台</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sz w:val="32"/>
          <w:szCs w:val="32"/>
        </w:rPr>
        <w:t>打造沪苏同城“第一站”。支持台资企业就地转型、资源整合，切入大陆产业链供应链，抢占产业发展新赛道，扩大两岸全方位合作交流，打造对台合作“第一城”。</w:t>
      </w:r>
      <w:r>
        <w:rPr>
          <w:rFonts w:hint="default" w:ascii="Times New Roman" w:hAnsi="Times New Roman" w:eastAsia="仿宋_GB2312" w:cs="Times New Roman"/>
          <w:color w:val="000000" w:themeColor="text1"/>
          <w:sz w:val="32"/>
          <w:szCs w:val="32"/>
          <w14:textFill>
            <w14:solidFill>
              <w14:schemeClr w14:val="tx1"/>
            </w14:solidFill>
          </w14:textFill>
        </w:rPr>
        <w:t>用好国际市场和资源服务企业全球化布局，</w:t>
      </w:r>
      <w:r>
        <w:rPr>
          <w:rFonts w:hint="default" w:ascii="Times New Roman" w:hAnsi="Times New Roman" w:eastAsia="仿宋_GB2312" w:cs="Times New Roman"/>
          <w:sz w:val="32"/>
          <w:szCs w:val="32"/>
        </w:rPr>
        <w:t>拓展利用外资来源和全球市场网络，努力将昆山建设成为服务融入国内国际双循环的全球功能性节点城市。</w:t>
      </w:r>
    </w:p>
    <w:p w14:paraId="789A8F6D">
      <w:pPr>
        <w:overflowPunct w:val="0"/>
        <w:autoSpaceDE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美丽现代的“品质之城”。</w:t>
      </w:r>
      <w:r>
        <w:rPr>
          <w:rFonts w:hint="default" w:ascii="Times New Roman" w:hAnsi="Times New Roman" w:eastAsia="仿宋_GB2312" w:cs="Times New Roman"/>
          <w:color w:val="000000" w:themeColor="text1"/>
          <w:kern w:val="0"/>
          <w:sz w:val="32"/>
          <w:szCs w:val="32"/>
          <w14:textFill>
            <w14:solidFill>
              <w14:schemeClr w14:val="tx1"/>
            </w14:solidFill>
          </w14:textFill>
        </w:rPr>
        <w:t>坚持</w:t>
      </w:r>
      <w:r>
        <w:rPr>
          <w:rFonts w:hint="default" w:ascii="Times New Roman" w:hAnsi="Times New Roman" w:eastAsia="仿宋_GB2312" w:cs="Times New Roman"/>
          <w:color w:val="000000" w:themeColor="text1"/>
          <w:sz w:val="32"/>
          <w:szCs w:val="32"/>
          <w14:textFill>
            <w14:solidFill>
              <w14:schemeClr w14:val="tx1"/>
            </w14:solidFill>
          </w14:textFill>
        </w:rPr>
        <w:t>把做强中心主城作为提升城市能级的首要任务，全力推进青阳港中央商务区建设，系统推进玉山历史文化片区、正仪戏曲文化片区、大渔湾科创先导区等重</w:t>
      </w:r>
      <w:r>
        <w:rPr>
          <w:rFonts w:hint="default" w:ascii="Times New Roman" w:hAnsi="Times New Roman" w:eastAsia="仿宋_GB2312" w:cs="Times New Roman"/>
          <w:color w:val="000000" w:themeColor="text1"/>
          <w:kern w:val="0"/>
          <w:sz w:val="32"/>
          <w:szCs w:val="32"/>
          <w14:textFill>
            <w14:solidFill>
              <w14:schemeClr w14:val="tx1"/>
            </w14:solidFill>
          </w14:textFill>
        </w:rPr>
        <w:t>点片区建设，打造多中心、紧密型城市空间格局，</w:t>
      </w:r>
      <w:r>
        <w:rPr>
          <w:rFonts w:hint="default" w:ascii="Times New Roman" w:hAnsi="Times New Roman" w:eastAsia="仿宋_GB2312" w:cs="Times New Roman"/>
          <w:color w:val="000000" w:themeColor="text1"/>
          <w:sz w:val="32"/>
          <w:szCs w:val="32"/>
          <w14:textFill>
            <w14:solidFill>
              <w14:schemeClr w14:val="tx1"/>
            </w14:solidFill>
          </w14:textFill>
        </w:rPr>
        <w:t>提升主城区集聚辐射带动能力。</w:t>
      </w:r>
      <w:r>
        <w:rPr>
          <w:rFonts w:hint="default" w:ascii="Times New Roman" w:hAnsi="Times New Roman" w:eastAsia="仿宋_GB2312" w:cs="Times New Roman"/>
          <w:sz w:val="32"/>
          <w:szCs w:val="32"/>
        </w:rPr>
        <w:t>立足产城人深度融合，加快推进城市更新改造和设施提档升级，协同打造青年城市、智慧城市、美丽昆山，构建以人为本的新型城镇化体系，努力打造让本地人自豪、外来者称道、年轻人奔赴的“强磁场”。</w:t>
      </w:r>
    </w:p>
    <w:p w14:paraId="4BE5F104">
      <w:pPr>
        <w:widowControl/>
        <w:overflowPunct w:val="0"/>
        <w:spacing w:after="0"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人民满意的“幸福之城”。</w:t>
      </w:r>
      <w:r>
        <w:rPr>
          <w:rFonts w:hint="default" w:ascii="Times New Roman" w:hAnsi="Times New Roman" w:eastAsia="仿宋_GB2312" w:cs="Times New Roman"/>
          <w:sz w:val="32"/>
          <w:szCs w:val="32"/>
        </w:rPr>
        <w:t>坚持人民至上、全龄友好，深入推进“民生七优”，在更高水平实现幼有所育、学有所教、劳有所得、病有所医、老有所养、住有所居、弱有所扶，打造覆盖人的全生命周期的多元、均衡、优质公共服务体系。活化利用“江南韵”传统文化，</w:t>
      </w:r>
      <w:r>
        <w:rPr>
          <w:rFonts w:hint="default" w:ascii="Times New Roman" w:hAnsi="Times New Roman" w:eastAsia="仿宋_GB2312" w:cs="Times New Roman"/>
          <w:sz w:val="32"/>
          <w:szCs w:val="32"/>
          <w:lang w:bidi="ar"/>
        </w:rPr>
        <w:t>全力打造戏曲文化名城</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000000" w:themeColor="text1"/>
          <w:sz w:val="32"/>
          <w:szCs w:val="32"/>
          <w14:textFill>
            <w14:solidFill>
              <w14:schemeClr w14:val="tx1"/>
            </w14:solidFill>
          </w14:textFill>
        </w:rPr>
        <w:t>大力培育数字文化、书香文化、咖啡文化等文化新业态，构建以江南文化为灵魂的全域文旅融合形态。搭建人工智能赋能的城市治理共同体，全面统筹发展和安全，切实将昆山打造成共建共治共享的幸福宜居现代化人民城市。</w:t>
      </w:r>
    </w:p>
    <w:p w14:paraId="03A4BEAB">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184" w:name="_Toc11921"/>
      <w:bookmarkStart w:id="185" w:name="_Toc25396"/>
      <w:bookmarkStart w:id="186" w:name="_Toc13703"/>
      <w:bookmarkStart w:id="187" w:name="_Toc27699"/>
      <w:bookmarkStart w:id="188" w:name="_Toc12624"/>
      <w:bookmarkStart w:id="189" w:name="_Toc28905"/>
      <w:bookmarkStart w:id="190" w:name="_Toc25133"/>
      <w:bookmarkStart w:id="191" w:name="_Toc27028"/>
      <w:bookmarkStart w:id="192" w:name="_Toc1490"/>
      <w:bookmarkStart w:id="193" w:name="_Toc26157"/>
      <w:bookmarkStart w:id="194" w:name="_Toc3426"/>
      <w:bookmarkStart w:id="195" w:name="_Toc17799"/>
      <w:bookmarkStart w:id="196" w:name="_Toc21228"/>
      <w:bookmarkStart w:id="197" w:name="_Toc21487"/>
      <w:bookmarkStart w:id="198" w:name="_Toc13085"/>
      <w:bookmarkStart w:id="199" w:name="_Toc8298"/>
      <w:bookmarkStart w:id="200" w:name="_Toc32752"/>
      <w:bookmarkStart w:id="201" w:name="_Toc4376"/>
      <w:bookmarkStart w:id="202" w:name="_Toc10238"/>
      <w:bookmarkStart w:id="203" w:name="_Toc28502"/>
      <w:bookmarkStart w:id="204" w:name="_Toc218010908"/>
      <w:r>
        <w:rPr>
          <w:rFonts w:hint="default" w:ascii="Times New Roman" w:hAnsi="Times New Roman" w:eastAsia="楷体" w:cs="Times New Roman"/>
          <w:sz w:val="32"/>
          <w:szCs w:val="32"/>
        </w:rPr>
        <w:t xml:space="preserve">第三节 </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Fonts w:hint="default" w:ascii="Times New Roman" w:hAnsi="Times New Roman" w:eastAsia="楷体" w:cs="Times New Roman"/>
          <w:sz w:val="32"/>
          <w:szCs w:val="32"/>
        </w:rPr>
        <w:t>路径方向</w:t>
      </w:r>
      <w:bookmarkEnd w:id="201"/>
      <w:bookmarkEnd w:id="202"/>
      <w:bookmarkEnd w:id="203"/>
      <w:bookmarkEnd w:id="204"/>
    </w:p>
    <w:p w14:paraId="5D62EB02">
      <w:pPr>
        <w:widowControl/>
        <w:spacing w:after="0" w:line="600" w:lineRule="exact"/>
        <w:ind w:firstLine="640" w:firstLineChars="200"/>
        <w:rPr>
          <w:rFonts w:hint="default" w:ascii="Times New Roman" w:hAnsi="Times New Roman" w:eastAsia="楷体" w:cs="Times New Roman"/>
          <w:sz w:val="32"/>
          <w:szCs w:val="32"/>
        </w:rPr>
      </w:pPr>
      <w:r>
        <w:rPr>
          <w:rFonts w:hint="default" w:ascii="Times New Roman" w:hAnsi="Times New Roman" w:eastAsia="仿宋_GB2312" w:cs="Times New Roman"/>
          <w:color w:val="000000"/>
          <w:kern w:val="0"/>
          <w:sz w:val="32"/>
          <w:szCs w:val="32"/>
          <w:lang w:bidi="ar"/>
        </w:rPr>
        <w:t>推动</w:t>
      </w:r>
      <w:r>
        <w:rPr>
          <w:rFonts w:hint="default" w:ascii="Times New Roman" w:hAnsi="Times New Roman" w:eastAsia="宋体" w:cs="Times New Roman"/>
          <w:color w:val="000000"/>
          <w:kern w:val="0"/>
          <w:sz w:val="32"/>
          <w:szCs w:val="32"/>
          <w:lang w:bidi="ar"/>
        </w:rPr>
        <w:t>“</w:t>
      </w:r>
      <w:r>
        <w:rPr>
          <w:rFonts w:hint="default" w:ascii="Times New Roman" w:hAnsi="Times New Roman" w:eastAsia="仿宋_GB2312" w:cs="Times New Roman"/>
          <w:color w:val="000000"/>
          <w:kern w:val="0"/>
          <w:sz w:val="32"/>
          <w:szCs w:val="32"/>
          <w:lang w:bidi="ar"/>
        </w:rPr>
        <w:t>十五五</w:t>
      </w:r>
      <w:r>
        <w:rPr>
          <w:rFonts w:hint="default" w:ascii="Times New Roman" w:hAnsi="Times New Roman" w:eastAsia="宋体" w:cs="Times New Roman"/>
          <w:color w:val="000000"/>
          <w:kern w:val="0"/>
          <w:sz w:val="32"/>
          <w:szCs w:val="32"/>
          <w:lang w:bidi="ar"/>
        </w:rPr>
        <w:t>”</w:t>
      </w:r>
      <w:r>
        <w:rPr>
          <w:rFonts w:hint="default" w:ascii="Times New Roman" w:hAnsi="Times New Roman" w:eastAsia="仿宋_GB2312" w:cs="Times New Roman"/>
          <w:color w:val="000000"/>
          <w:kern w:val="0"/>
          <w:sz w:val="32"/>
          <w:szCs w:val="32"/>
          <w:lang w:bidi="ar"/>
        </w:rPr>
        <w:t>发展，昆山必须严格遵循坚持党的全面领导、坚持人民至上、坚持高质量发展、坚持全面深化改革、坚持有效市场和有为政府相结合、坚持统筹发展和安全等重大原则，着力实施以下六个方面路线图：</w:t>
      </w:r>
    </w:p>
    <w:p w14:paraId="4C01EE96">
      <w:pPr>
        <w:numPr>
          <w:ilvl w:val="0"/>
          <w:numId w:val="1"/>
        </w:numPr>
        <w:overflowPunct w:val="0"/>
        <w:adjustRightInd w:val="0"/>
        <w:spacing w:after="0" w:line="600" w:lineRule="exact"/>
        <w:ind w:firstLine="640" w:firstLineChars="20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 w:cs="Times New Roman"/>
          <w:sz w:val="32"/>
          <w:szCs w:val="32"/>
        </w:rPr>
        <w:t>巩固优势产业底盘，培育壮大一批新兴支柱产业。</w:t>
      </w:r>
      <w:r>
        <w:rPr>
          <w:rFonts w:hint="default" w:ascii="Times New Roman" w:hAnsi="Times New Roman" w:eastAsia="仿宋_GB2312" w:cs="Times New Roman"/>
          <w:color w:val="000000" w:themeColor="text1"/>
          <w:sz w:val="32"/>
          <w:szCs w:val="32"/>
          <w14:textFill>
            <w14:solidFill>
              <w14:schemeClr w14:val="tx1"/>
            </w14:solidFill>
          </w14:textFill>
        </w:rPr>
        <w:t>全力稳住工业经济根基，扎实推进存量企业增资扩产、提质增效，加快推进电子信息产业补链强链延链、高端装备制造产业集成化智能化。坚持“一米宽、百米深”理念，按照“增、强、补、育”思路，</w:t>
      </w:r>
      <w:r>
        <w:rPr>
          <w:rFonts w:hint="default" w:ascii="Times New Roman" w:hAnsi="Times New Roman" w:eastAsia="仿宋_GB2312" w:cs="Times New Roman"/>
          <w:sz w:val="32"/>
          <w:szCs w:val="32"/>
        </w:rPr>
        <w:t>支持链主企业开展产业链垂直整合和跨领域横向拓展，加快引进</w:t>
      </w:r>
      <w:r>
        <w:rPr>
          <w:rFonts w:hint="default" w:ascii="Times New Roman" w:hAnsi="Times New Roman" w:eastAsia="仿宋_GB2312" w:cs="Times New Roman"/>
          <w:color w:val="000000" w:themeColor="text1"/>
          <w:sz w:val="32"/>
          <w:szCs w:val="32"/>
          <w14:textFill>
            <w14:solidFill>
              <w14:schemeClr w14:val="tx1"/>
            </w14:solidFill>
          </w14:textFill>
        </w:rPr>
        <w:t>战略级项目，壮大具身智能、低空飞行器、智能网联汽车、高端食品等更多</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新兴</w:t>
      </w:r>
      <w:r>
        <w:rPr>
          <w:rFonts w:hint="default" w:ascii="Times New Roman" w:hAnsi="Times New Roman" w:eastAsia="仿宋_GB2312" w:cs="Times New Roman"/>
          <w:color w:val="000000" w:themeColor="text1"/>
          <w:sz w:val="32"/>
          <w:szCs w:val="32"/>
          <w14:textFill>
            <w14:solidFill>
              <w14:schemeClr w14:val="tx1"/>
            </w14:solidFill>
          </w14:textFill>
        </w:rPr>
        <w:t>支柱产业，优质高效发展生产性服务业，推动产业结构从“一业独大”向“一超多强”转变。</w:t>
      </w:r>
    </w:p>
    <w:p w14:paraId="7ADA6057">
      <w:pPr>
        <w:numPr>
          <w:ilvl w:val="0"/>
          <w:numId w:val="1"/>
        </w:numPr>
        <w:overflowPunct w:val="0"/>
        <w:autoSpaceDE w:val="0"/>
        <w:adjustRightInd w:val="0"/>
        <w:spacing w:after="0" w:line="600" w:lineRule="exact"/>
        <w:ind w:firstLine="640" w:firstLineChars="20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 w:cs="Times New Roman"/>
          <w:sz w:val="32"/>
          <w:szCs w:val="32"/>
        </w:rPr>
        <w:t>深化四链协同融合，孵化引进一批创新领军企业。</w:t>
      </w:r>
      <w:r>
        <w:rPr>
          <w:rFonts w:hint="default" w:ascii="Times New Roman" w:hAnsi="Times New Roman" w:eastAsia="仿宋_GB2312" w:cs="Times New Roman"/>
          <w:sz w:val="32"/>
          <w:szCs w:val="32"/>
        </w:rPr>
        <w:t>坚持以链主企业为牵引，构建区域创新体系，全力推进重点实验室、企业创新中心等重大创新平台建设，持续攻关核心设备、关键技术，培育一批优质创新型企业梯队。立足创新链、产业链、资金链、人才链四链融合，一体推进教育科技人才发展，构建覆盖种子基金</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风险基金</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产业基金</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并购基金的投资支持体系，完善孵化器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加速器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特色园组合的科技成果孵化转化体系，前瞻培育未来产业，全方位推动昆山</w:t>
      </w:r>
      <w:r>
        <w:rPr>
          <w:rFonts w:hint="default" w:ascii="Times New Roman" w:hAnsi="Times New Roman" w:eastAsia="仿宋_GB2312" w:cs="Times New Roman"/>
          <w:color w:val="000000" w:themeColor="text1"/>
          <w:sz w:val="32"/>
          <w:szCs w:val="32"/>
          <w14:textFill>
            <w14:solidFill>
              <w14:schemeClr w14:val="tx1"/>
            </w14:solidFill>
          </w14:textFill>
        </w:rPr>
        <w:t>新质生产力催生裂变。</w:t>
      </w:r>
    </w:p>
    <w:p w14:paraId="68B38FA1">
      <w:pPr>
        <w:numPr>
          <w:ilvl w:val="0"/>
          <w:numId w:val="1"/>
        </w:numPr>
        <w:overflowPunct w:val="0"/>
        <w:autoSpaceDE w:val="0"/>
        <w:adjustRightInd w:val="0"/>
        <w:spacing w:after="0" w:line="600" w:lineRule="exact"/>
        <w:ind w:firstLine="640" w:firstLineChars="20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 w:cs="Times New Roman"/>
          <w:sz w:val="32"/>
          <w:szCs w:val="32"/>
        </w:rPr>
        <w:t>突出改革开放赋能，探索推进一批先行先试举措。</w:t>
      </w:r>
      <w:r>
        <w:rPr>
          <w:rFonts w:hint="default" w:ascii="Times New Roman" w:hAnsi="Times New Roman" w:eastAsia="仿宋_GB2312" w:cs="Times New Roman"/>
          <w:sz w:val="32"/>
          <w:szCs w:val="32"/>
        </w:rPr>
        <w:t>发挥经济体制改革牵引带动作用，争取昆山试验区更多改革赋权，深化营商环境、要素市场化配置、国资国企、招商引资和投融资机制等重点领域改革。加强数据、算力、绿电、低空空域等新型生产要素供给，形成一批标志性改革成果。对标国际高标准经贸规则，发挥基层首创精神，推动高水平对外开放，服务融入全国统一大市场，加快内外贸一体化发展，稳妥有序鼓励企业投资布局全球，加快形成打通内外循环的开放型经济新格局。</w:t>
      </w:r>
    </w:p>
    <w:p w14:paraId="75D7F195">
      <w:pPr>
        <w:numPr>
          <w:ilvl w:val="0"/>
          <w:numId w:val="1"/>
        </w:numPr>
        <w:overflowPunct w:val="0"/>
        <w:autoSpaceDE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推动全域焕新提质，全力建设一批重点功能片区。</w:t>
      </w:r>
      <w:r>
        <w:rPr>
          <w:rFonts w:hint="default" w:ascii="Times New Roman" w:hAnsi="Times New Roman" w:eastAsia="仿宋_GB2312" w:cs="Times New Roman"/>
          <w:sz w:val="32"/>
          <w:szCs w:val="32"/>
        </w:rPr>
        <w:t>按照“老城区焕新、新片区塑形、全领域激活”思路，</w:t>
      </w:r>
      <w:r>
        <w:rPr>
          <w:rFonts w:hint="default" w:ascii="Times New Roman" w:hAnsi="Times New Roman" w:eastAsia="仿宋_GB2312" w:cs="Times New Roman"/>
          <w:color w:val="000000" w:themeColor="text1"/>
          <w:sz w:val="32"/>
          <w:szCs w:val="32"/>
          <w14:textFill>
            <w14:solidFill>
              <w14:schemeClr w14:val="tx1"/>
            </w14:solidFill>
          </w14:textFill>
        </w:rPr>
        <w:t>以推进城</w:t>
      </w:r>
      <w:r>
        <w:rPr>
          <w:rFonts w:hint="default" w:ascii="Times New Roman" w:hAnsi="Times New Roman" w:eastAsia="仿宋_GB2312" w:cs="Times New Roman"/>
          <w:sz w:val="32"/>
          <w:szCs w:val="32"/>
        </w:rPr>
        <w:t>市更新为抓手，以重点片区建设为牵引，大力推动城市结构优化、品质塑形、功能提升、绿色转型、治理增效，加快</w:t>
      </w:r>
      <w:r>
        <w:rPr>
          <w:rFonts w:hint="default" w:ascii="Times New Roman" w:hAnsi="Times New Roman" w:eastAsia="仿宋_GB2312" w:cs="Times New Roman"/>
          <w:color w:val="000000" w:themeColor="text1"/>
          <w:sz w:val="32"/>
          <w:szCs w:val="32"/>
          <w14:textFill>
            <w14:solidFill>
              <w14:schemeClr w14:val="tx1"/>
            </w14:solidFill>
          </w14:textFill>
        </w:rPr>
        <w:t>构建“主城强心+片区支撑+两轴联动+组团发展”的总体空间布局。</w:t>
      </w:r>
      <w:r>
        <w:rPr>
          <w:rFonts w:hint="default" w:ascii="Times New Roman" w:hAnsi="Times New Roman" w:eastAsia="仿宋_GB2312" w:cs="Times New Roman"/>
          <w:sz w:val="32"/>
          <w:szCs w:val="32"/>
        </w:rPr>
        <w:t>坚持以产兴城、以城聚人、以人兴业、以文化人，统筹推进基础设施、产业园区、商业街区、人才社区、游园绿地、15分钟生活圈等一体布局，持续提升全域发展品质，建成生产、生活、生态融合发展的人文新家园。</w:t>
      </w:r>
    </w:p>
    <w:p w14:paraId="6C3108B1">
      <w:pPr>
        <w:numPr>
          <w:ilvl w:val="0"/>
          <w:numId w:val="1"/>
        </w:numPr>
        <w:overflowPunct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聚焦群众急难愁盼，系统实施一批民生实事工程。</w:t>
      </w:r>
      <w:r>
        <w:rPr>
          <w:rFonts w:hint="default" w:ascii="Times New Roman" w:hAnsi="Times New Roman" w:eastAsia="仿宋_GB2312" w:cs="Times New Roman"/>
          <w:color w:val="000000" w:themeColor="text1"/>
          <w:kern w:val="0"/>
          <w:sz w:val="32"/>
          <w:szCs w:val="32"/>
          <w14:textFill>
            <w14:solidFill>
              <w14:schemeClr w14:val="tx1"/>
            </w14:solidFill>
          </w14:textFill>
        </w:rPr>
        <w:t>牢固树立以人民为中心的发展思想，</w:t>
      </w:r>
      <w:r>
        <w:rPr>
          <w:rFonts w:hint="default" w:ascii="Times New Roman" w:hAnsi="Times New Roman" w:eastAsia="仿宋_GB2312" w:cs="Times New Roman"/>
          <w:sz w:val="32"/>
          <w:szCs w:val="32"/>
        </w:rPr>
        <w:t>坚持尽力而为、量力而行，</w:t>
      </w:r>
      <w:r>
        <w:rPr>
          <w:rFonts w:hint="default" w:ascii="Times New Roman" w:hAnsi="Times New Roman" w:eastAsia="仿宋_GB2312" w:cs="Times New Roman"/>
          <w:color w:val="000000" w:themeColor="text1"/>
          <w:kern w:val="0"/>
          <w:sz w:val="32"/>
          <w:szCs w:val="32"/>
          <w14:textFill>
            <w14:solidFill>
              <w14:schemeClr w14:val="tx1"/>
            </w14:solidFill>
          </w14:textFill>
        </w:rPr>
        <w:t>加强普惠性、基础性、兜底性民生建设，深化实施一批“温暖+1</w:t>
      </w:r>
      <w:r>
        <w:rPr>
          <w:rFonts w:hint="default" w:ascii="Times New Roman" w:hAnsi="Times New Roman" w:cs="Times New Roman"/>
          <w:color w:val="000000" w:themeColor="text1"/>
          <w:kern w:val="0"/>
          <w:sz w:val="32"/>
          <w:szCs w:val="32"/>
          <w14:textFill>
            <w14:solidFill>
              <w14:schemeClr w14:val="tx1"/>
            </w14:solidFill>
          </w14:textFill>
        </w:rPr>
        <w:t>℃</w:t>
      </w:r>
      <w:r>
        <w:rPr>
          <w:rFonts w:hint="default" w:ascii="Times New Roman" w:hAnsi="Times New Roman" w:eastAsia="仿宋_GB2312" w:cs="Times New Roman"/>
          <w:color w:val="000000" w:themeColor="text1"/>
          <w:kern w:val="0"/>
          <w:sz w:val="32"/>
          <w:szCs w:val="32"/>
          <w14:textFill>
            <w14:solidFill>
              <w14:schemeClr w14:val="tx1"/>
            </w14:solidFill>
          </w14:textFill>
        </w:rPr>
        <w:t>”民生实事工程，着力推进富民增收，加快完善适应人口总量和结构变化的基本公共服务体系，推动公共服务优质均等覆盖常住人口，鼓励社会力量参与扩大高品质公共服务供给。统筹发展和安全</w:t>
      </w:r>
      <w:r>
        <w:rPr>
          <w:rFonts w:hint="default" w:ascii="Times New Roman" w:hAnsi="Times New Roman" w:eastAsia="仿宋_GB2312" w:cs="Times New Roman"/>
          <w:sz w:val="32"/>
          <w:szCs w:val="32"/>
        </w:rPr>
        <w:t>，加强重点领域安全能力建设，完善市域现代化治理体系，守牢不发生系统性风险底线，推动形成更高水平的平安昆山、韧性城市。</w:t>
      </w:r>
    </w:p>
    <w:p w14:paraId="16B02AA8">
      <w:pPr>
        <w:widowControl/>
        <w:numPr>
          <w:ilvl w:val="0"/>
          <w:numId w:val="1"/>
        </w:numPr>
        <w:overflowPunct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强化智能低碳引领，开发推出一批典型应用场景。</w:t>
      </w:r>
      <w:r>
        <w:rPr>
          <w:rFonts w:hint="default" w:ascii="Times New Roman" w:hAnsi="Times New Roman" w:eastAsia="仿宋_GB2312" w:cs="Times New Roman"/>
          <w:sz w:val="32"/>
          <w:szCs w:val="32"/>
        </w:rPr>
        <w:t>深入实施“人工智能+”行动，充分发挥昆山工业经济场景资源优势，扩大生产场景、生活场景、工作场景培育供给，推动场景资源开放和大规模应用，打造更多具有昆山特色的人工智能应用品牌场景。坚持把推动绿色低碳和集约发展作为城市发展的鲜明底色，构建完善绿色制造体系、碳排放管理体系、清洁能源消费体系、城市绿色空间体系，加快盘活存量空间，打造绿色发展、精明增长的城市发展模式。</w:t>
      </w:r>
    </w:p>
    <w:p w14:paraId="189E4B05">
      <w:pPr>
        <w:overflowPunct w:val="0"/>
        <w:autoSpaceDE w:val="0"/>
        <w:adjustRightInd w:val="0"/>
        <w:spacing w:after="0" w:line="600" w:lineRule="exact"/>
        <w:jc w:val="center"/>
        <w:outlineLvl w:val="2"/>
        <w:rPr>
          <w:rFonts w:hint="default" w:ascii="Times New Roman" w:hAnsi="Times New Roman" w:eastAsia="楷体" w:cs="Times New Roman"/>
          <w:sz w:val="32"/>
          <w:szCs w:val="32"/>
        </w:rPr>
      </w:pPr>
      <w:bookmarkStart w:id="205" w:name="_Toc27134"/>
      <w:bookmarkStart w:id="206" w:name="_Toc3225"/>
      <w:bookmarkStart w:id="207" w:name="_Toc218010909"/>
      <w:bookmarkStart w:id="208" w:name="_Toc1552"/>
      <w:bookmarkStart w:id="209" w:name="_Toc384"/>
      <w:bookmarkStart w:id="210" w:name="_Toc13683"/>
      <w:bookmarkStart w:id="211" w:name="_Toc19558"/>
      <w:bookmarkStart w:id="212" w:name="_Toc23280"/>
      <w:bookmarkStart w:id="213" w:name="_Toc202"/>
      <w:bookmarkStart w:id="214" w:name="_Toc19950"/>
      <w:bookmarkStart w:id="215" w:name="_Toc19716"/>
      <w:bookmarkStart w:id="216" w:name="_Toc21063"/>
      <w:bookmarkStart w:id="217" w:name="_Toc68"/>
      <w:bookmarkStart w:id="218" w:name="_Toc23543"/>
      <w:bookmarkStart w:id="219" w:name="_Toc15336"/>
      <w:bookmarkStart w:id="220" w:name="_Toc30650"/>
      <w:bookmarkStart w:id="221" w:name="_Toc27312"/>
      <w:bookmarkStart w:id="222" w:name="_Toc25419"/>
      <w:bookmarkStart w:id="223" w:name="_Toc18574"/>
      <w:bookmarkStart w:id="224" w:name="_Toc6167"/>
      <w:bookmarkStart w:id="225" w:name="_Toc28397"/>
      <w:r>
        <w:rPr>
          <w:rFonts w:hint="default" w:ascii="Times New Roman" w:hAnsi="Times New Roman" w:eastAsia="楷体" w:cs="Times New Roman"/>
          <w:sz w:val="32"/>
          <w:szCs w:val="32"/>
        </w:rPr>
        <w:t>第四节 发展目标</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11AB7D80">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综合考虑昆山发展实际，今后五年全市经济社会发展的主要目标是聚焦八个方面探索突破、示范引领，切实肩负起支撑苏州服务全省挑大梁的重大责任：</w:t>
      </w:r>
    </w:p>
    <w:p w14:paraId="189FAF45">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一是聚焦质的有效提升和量的合理增长探索突破，在推动高质量发展上示范引领。</w:t>
      </w:r>
      <w:r>
        <w:rPr>
          <w:rFonts w:hint="default" w:ascii="Times New Roman" w:hAnsi="Times New Roman" w:eastAsia="仿宋_GB2312" w:cs="Times New Roman"/>
          <w:sz w:val="32"/>
          <w:szCs w:val="32"/>
        </w:rPr>
        <w:t>经济增长保持在合理区间，新型工业化、信息化、城镇化、农业现代化率先基本实现，“一超多强”现代化产业体系基本形成，制造业增加值占比稳定在50%左右，生产性服务业增加值占比提升至</w:t>
      </w:r>
      <w:r>
        <w:rPr>
          <w:rFonts w:hint="default" w:ascii="Times New Roman" w:hAnsi="Times New Roman" w:eastAsia="仿宋_GB2312" w:cs="Times New Roman"/>
          <w:sz w:val="32"/>
          <w:szCs w:val="32"/>
          <w:lang w:val="en-US" w:eastAsia="zh-CN"/>
        </w:rPr>
        <w:t>56</w:t>
      </w:r>
      <w:r>
        <w:rPr>
          <w:rFonts w:hint="default" w:ascii="Times New Roman" w:hAnsi="Times New Roman" w:eastAsia="仿宋_GB2312" w:cs="Times New Roman"/>
          <w:sz w:val="32"/>
          <w:szCs w:val="32"/>
        </w:rPr>
        <w:t>%左右，内需拉动经济增长作用持续增强，地区生产总值年均增长5%以上，支撑苏州服务全省挑大梁的作用更加彰显。</w:t>
      </w:r>
    </w:p>
    <w:p w14:paraId="4AB0509D">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二是聚焦科技创新和产业创新深度融合探索突破，在培育新质生产力上示范引领。</w:t>
      </w:r>
      <w:r>
        <w:rPr>
          <w:rFonts w:hint="default" w:ascii="Times New Roman" w:hAnsi="Times New Roman" w:eastAsia="仿宋_GB2312" w:cs="Times New Roman"/>
          <w:sz w:val="32"/>
          <w:szCs w:val="32"/>
        </w:rPr>
        <w:t>创新效能显著提升，教育强市、科技强市、人才强市建设达到更高水平，全社会研发</w:t>
      </w:r>
      <w:r>
        <w:rPr>
          <w:rFonts w:hint="default" w:ascii="Times New Roman" w:hAnsi="Times New Roman" w:eastAsia="仿宋_GB2312" w:cs="Times New Roman"/>
          <w:sz w:val="32"/>
          <w:szCs w:val="32"/>
          <w:lang w:val="en-US" w:eastAsia="zh-CN"/>
        </w:rPr>
        <w:t>经费</w:t>
      </w:r>
      <w:r>
        <w:rPr>
          <w:rFonts w:hint="default" w:ascii="Times New Roman" w:hAnsi="Times New Roman" w:eastAsia="仿宋_GB2312" w:cs="Times New Roman"/>
          <w:sz w:val="32"/>
          <w:szCs w:val="32"/>
        </w:rPr>
        <w:t>投入占比达4.0%，高能级科创平台加速涌现，企业创新主体地位更加凸显，国家高新技术企业</w:t>
      </w:r>
      <w:r>
        <w:rPr>
          <w:rFonts w:hint="default" w:ascii="Times New Roman" w:hAnsi="Times New Roman" w:eastAsia="仿宋_GB2312" w:cs="Times New Roman"/>
          <w:sz w:val="32"/>
          <w:szCs w:val="32"/>
          <w:lang w:eastAsia="zh"/>
        </w:rPr>
        <w:t>总数</w:t>
      </w:r>
      <w:r>
        <w:rPr>
          <w:rFonts w:hint="default" w:ascii="Times New Roman" w:hAnsi="Times New Roman" w:eastAsia="仿宋_GB2312" w:cs="Times New Roman"/>
          <w:sz w:val="32"/>
          <w:szCs w:val="32"/>
        </w:rPr>
        <w:t>4000家左右，每万人</w:t>
      </w:r>
      <w:r>
        <w:rPr>
          <w:rFonts w:hint="default" w:ascii="Times New Roman" w:hAnsi="Times New Roman" w:eastAsia="仿宋_GB2312" w:cs="Times New Roman"/>
          <w:sz w:val="32"/>
          <w:szCs w:val="32"/>
          <w:lang w:val="en-US" w:eastAsia="zh-CN"/>
        </w:rPr>
        <w:t>口</w:t>
      </w:r>
      <w:r>
        <w:rPr>
          <w:rFonts w:hint="default" w:ascii="Times New Roman" w:hAnsi="Times New Roman" w:eastAsia="仿宋_GB2312" w:cs="Times New Roman"/>
          <w:sz w:val="32"/>
          <w:szCs w:val="32"/>
        </w:rPr>
        <w:t>高价值发明专利拥有量达75件，高层次人才总量达8万人，人工智能产业发展和场景应用高地基本建成。</w:t>
      </w:r>
    </w:p>
    <w:p w14:paraId="14ED4A1D">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三是聚焦重点领域改革和高水平开放探索突破，在服务构建新发展格局上示范引领。</w:t>
      </w:r>
      <w:r>
        <w:rPr>
          <w:rFonts w:hint="default" w:ascii="Times New Roman" w:hAnsi="Times New Roman" w:eastAsia="仿宋_GB2312" w:cs="Times New Roman"/>
          <w:sz w:val="32"/>
          <w:szCs w:val="32"/>
        </w:rPr>
        <w:t>贯彻落实党的二十届三中全会精神进一步深化改革各项任务全面完成，形成一批首创性、引领性改革成果。服务融入全国统一大市场建设，贸易投资一体化、内外贸一体化格局全面形成，服务最优、成本最低、效率最高的营商环境持续构建，开放型经济活力和韧性显著增强。</w:t>
      </w:r>
    </w:p>
    <w:p w14:paraId="6B914A3A">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四是聚焦进一步增创临沪对台新优势探索突破，在落实国家重大战略上示范引领。</w:t>
      </w:r>
      <w:r>
        <w:rPr>
          <w:rFonts w:hint="default" w:ascii="Times New Roman" w:hAnsi="Times New Roman" w:eastAsia="仿宋_GB2312" w:cs="Times New Roman"/>
          <w:sz w:val="32"/>
          <w:szCs w:val="32"/>
        </w:rPr>
        <w:t>沪苏同城“第一站”、对台合作“第一城”城市品牌持续擦亮，产业创新协同、交通设施互通、生态环境联治、公共服务共享成效进一步提升，昆台产业合作、金融创新、文化交流走深走实，高端资源要素吸引集聚和高效配置能力有效增强，全球功能性节点城市地位更加凸显。</w:t>
      </w:r>
    </w:p>
    <w:p w14:paraId="0E65AD00">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五是聚焦满足人民群众对美好生活的向往探索突破，在促进共同富裕上示范引领。</w:t>
      </w:r>
      <w:r>
        <w:rPr>
          <w:rFonts w:hint="default" w:ascii="Times New Roman" w:hAnsi="Times New Roman" w:eastAsia="仿宋_GB2312" w:cs="Times New Roman"/>
          <w:sz w:val="32"/>
          <w:szCs w:val="32"/>
        </w:rPr>
        <w:t>高质量充分就业取得新进展，城镇</w:t>
      </w:r>
      <w:r>
        <w:rPr>
          <w:rFonts w:hint="default" w:ascii="Times New Roman" w:hAnsi="Times New Roman" w:eastAsia="仿宋_GB2312" w:cs="Times New Roman"/>
          <w:sz w:val="32"/>
          <w:szCs w:val="32"/>
          <w:lang w:val="en-US" w:eastAsia="zh-CN"/>
        </w:rPr>
        <w:t>新增</w:t>
      </w:r>
      <w:r>
        <w:rPr>
          <w:rFonts w:hint="default" w:ascii="Times New Roman" w:hAnsi="Times New Roman" w:eastAsia="仿宋_GB2312" w:cs="Times New Roman"/>
          <w:sz w:val="32"/>
          <w:szCs w:val="32"/>
        </w:rPr>
        <w:t>就业人数45万人，居民收入增长和经济增长同步，中等收入群体持续扩大，低收入群体稳定增收，城乡居民收入比力争缩小至1.7:1，公共服务更加均衡普惠，新增普通高中学位数超10000个，重大慢病过早死亡率降到6.0%以下，打造每个新老昆山人都愿意长期工作和生活的“一生之城”。</w:t>
      </w:r>
    </w:p>
    <w:p w14:paraId="2C5CDAE2">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六是聚焦物质文明和精神文明协调发展探索突破，在提升文化软实力上示范引领。</w:t>
      </w:r>
      <w:r>
        <w:rPr>
          <w:rFonts w:hint="default" w:ascii="Times New Roman" w:hAnsi="Times New Roman" w:eastAsia="仿宋_GB2312" w:cs="Times New Roman"/>
          <w:sz w:val="32"/>
          <w:szCs w:val="32"/>
        </w:rPr>
        <w:t>社会主义核心价值观深入人心，传统文化与现代文明交相辉映，新型文化业态持续涌现，文化创新创造活力不断激发，现代公共文化服务体系日益健全，人均公共文体设施面积达5.46平方米，人民精神文化生活更加丰富，市民文明素养和社会文明程度全面提升，向上向善的社会风尚更加浓厚。</w:t>
      </w:r>
    </w:p>
    <w:p w14:paraId="72D7A6F4">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七是聚焦城乡融合发展和生态环境保护探索突破，在建设现代化城市上示范引领。</w:t>
      </w:r>
      <w:r>
        <w:rPr>
          <w:rFonts w:hint="default" w:ascii="Times New Roman" w:hAnsi="Times New Roman" w:eastAsia="仿宋_GB2312" w:cs="Times New Roman"/>
          <w:sz w:val="32"/>
          <w:szCs w:val="32"/>
        </w:rPr>
        <w:t>现代城市和美丽乡村共生共荣的城乡共同体更加可感可及，新增产业用地更新3万亩，村均经营性收入突破1000万元。生态环境治理能力水平显著提升，绿色生产生活方式基本形成，单位地区生产总值二氧化碳排放降低率、地表水优良水体比例、PM</w:t>
      </w:r>
      <w:r>
        <w:rPr>
          <w:rFonts w:hint="default" w:ascii="Times New Roman" w:hAnsi="Times New Roman" w:eastAsia="仿宋_GB2312" w:cs="Times New Roman"/>
          <w:sz w:val="32"/>
          <w:szCs w:val="32"/>
          <w:vertAlign w:val="subscript"/>
        </w:rPr>
        <w:t>2.5</w:t>
      </w:r>
      <w:r>
        <w:rPr>
          <w:rFonts w:hint="default" w:ascii="Times New Roman" w:hAnsi="Times New Roman" w:eastAsia="仿宋_GB2312" w:cs="Times New Roman"/>
          <w:sz w:val="32"/>
          <w:szCs w:val="32"/>
        </w:rPr>
        <w:t>年均浓度等完成上级下达任务，建成最具江南风韵的美丽宜居城市。</w:t>
      </w:r>
    </w:p>
    <w:p w14:paraId="2762F5DD">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八是聚焦治理体系和治理能力现代化探索突破，在统筹好发展和安全上示范引领。</w:t>
      </w:r>
      <w:r>
        <w:rPr>
          <w:rFonts w:hint="default" w:ascii="Times New Roman" w:hAnsi="Times New Roman" w:eastAsia="仿宋_GB2312" w:cs="Times New Roman"/>
          <w:sz w:val="32"/>
          <w:szCs w:val="32"/>
        </w:rPr>
        <w:t>全过程人民民主制度化、规范化、程序化水平进一步提高，社会主义民主法治更加健全。智慧高效的治理模式持续丰富，社会治理和公共安全治理水平明显提高，重点领域风险有效防范化解，单位地区生产总值生产安全事故死亡率控制在0.0018人/亿元以内，高质量发展和高水平安全实现良性互动。</w:t>
      </w:r>
    </w:p>
    <w:p w14:paraId="08521DB5">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在此基础上再奋斗五年，到2035年，昆山综合竞争力、科技创新力和文化软实力大幅跃升，人均地区生产总值和居民收入达到更高水平，人民享有更高品质更加幸福的生活，基本实现社会主义现代化。</w:t>
      </w:r>
    </w:p>
    <w:p w14:paraId="6A612345">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52569BB2">
      <w:pPr>
        <w:overflowPunct w:val="0"/>
        <w:adjustRightInd w:val="0"/>
        <w:spacing w:after="156" w:afterLines="50" w:line="600" w:lineRule="exact"/>
        <w:jc w:val="center"/>
        <w:rPr>
          <w:rFonts w:hint="default" w:ascii="Times New Roman" w:hAnsi="Times New Roman" w:eastAsia="黑体" w:cs="Times New Roman"/>
          <w:sz w:val="30"/>
          <w:szCs w:val="30"/>
        </w:rPr>
      </w:pPr>
      <w:bookmarkStart w:id="226" w:name="_Toc21421"/>
      <w:bookmarkStart w:id="227" w:name="_Toc3629"/>
      <w:bookmarkStart w:id="228" w:name="_Toc21557"/>
      <w:bookmarkStart w:id="229" w:name="_Toc22897"/>
      <w:bookmarkStart w:id="230" w:name="_Toc4522"/>
      <w:bookmarkStart w:id="231" w:name="_Toc26926"/>
      <w:bookmarkStart w:id="232" w:name="_Toc26334"/>
      <w:bookmarkStart w:id="233" w:name="_Toc20109"/>
      <w:bookmarkStart w:id="234" w:name="_Toc6576"/>
      <w:bookmarkStart w:id="235" w:name="_Toc7949"/>
      <w:bookmarkStart w:id="236" w:name="_Toc15858"/>
      <w:r>
        <w:rPr>
          <w:rFonts w:hint="default" w:ascii="Times New Roman" w:hAnsi="Times New Roman" w:eastAsia="黑体" w:cs="Times New Roman"/>
          <w:sz w:val="30"/>
          <w:szCs w:val="30"/>
        </w:rPr>
        <w:t>表1 昆山市“十五五”时期经济社会发展主要指标</w:t>
      </w:r>
    </w:p>
    <w:tbl>
      <w:tblPr>
        <w:tblStyle w:val="35"/>
        <w:tblW w:w="858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836"/>
        <w:gridCol w:w="4544"/>
        <w:gridCol w:w="2093"/>
        <w:gridCol w:w="1109"/>
      </w:tblGrid>
      <w:tr w14:paraId="1D4BA4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10" w:hRule="atLeast"/>
          <w:tblHeader/>
          <w:jc w:val="center"/>
        </w:trPr>
        <w:tc>
          <w:tcPr>
            <w:tcW w:w="836" w:type="dxa"/>
            <w:tcBorders>
              <w:tl2br w:val="nil"/>
              <w:tr2bl w:val="nil"/>
            </w:tcBorders>
            <w:vAlign w:val="center"/>
          </w:tcPr>
          <w:p w14:paraId="56C93F1A">
            <w:pPr>
              <w:overflowPunct w:val="0"/>
              <w:adjustRightInd w:val="0"/>
              <w:snapToGrid w:val="0"/>
              <w:spacing w:after="0" w:line="240" w:lineRule="auto"/>
              <w:jc w:val="center"/>
              <w:rPr>
                <w:rFonts w:hint="default" w:ascii="Times New Roman" w:hAnsi="Times New Roman" w:eastAsia="宋体" w:cs="Times New Roman"/>
                <w:b/>
                <w:bCs/>
                <w:kern w:val="44"/>
                <w:sz w:val="21"/>
                <w:szCs w:val="21"/>
              </w:rPr>
            </w:pPr>
            <w:r>
              <w:rPr>
                <w:rFonts w:hint="default" w:ascii="Times New Roman" w:hAnsi="Times New Roman" w:eastAsia="宋体" w:cs="Times New Roman"/>
                <w:b/>
                <w:bCs/>
                <w:kern w:val="44"/>
                <w:sz w:val="21"/>
                <w:szCs w:val="21"/>
              </w:rPr>
              <w:t>序号</w:t>
            </w:r>
          </w:p>
        </w:tc>
        <w:tc>
          <w:tcPr>
            <w:tcW w:w="4544" w:type="dxa"/>
            <w:tcBorders>
              <w:tl2br w:val="nil"/>
              <w:tr2bl w:val="nil"/>
            </w:tcBorders>
            <w:vAlign w:val="center"/>
          </w:tcPr>
          <w:p w14:paraId="1BAAFE62">
            <w:pPr>
              <w:overflowPunct w:val="0"/>
              <w:adjustRightInd w:val="0"/>
              <w:snapToGrid w:val="0"/>
              <w:spacing w:after="0" w:line="240" w:lineRule="auto"/>
              <w:jc w:val="center"/>
              <w:rPr>
                <w:rFonts w:hint="default" w:ascii="Times New Roman" w:hAnsi="Times New Roman" w:eastAsia="宋体" w:cs="Times New Roman"/>
                <w:b/>
                <w:bCs/>
                <w:kern w:val="44"/>
                <w:sz w:val="21"/>
                <w:szCs w:val="21"/>
              </w:rPr>
            </w:pPr>
            <w:r>
              <w:rPr>
                <w:rFonts w:hint="default" w:ascii="Times New Roman" w:hAnsi="Times New Roman" w:eastAsia="宋体" w:cs="Times New Roman"/>
                <w:b/>
                <w:bCs/>
                <w:kern w:val="44"/>
                <w:sz w:val="21"/>
                <w:szCs w:val="21"/>
              </w:rPr>
              <w:t>指标</w:t>
            </w:r>
          </w:p>
        </w:tc>
        <w:tc>
          <w:tcPr>
            <w:tcW w:w="2093" w:type="dxa"/>
            <w:tcBorders>
              <w:tl2br w:val="nil"/>
              <w:tr2bl w:val="nil"/>
            </w:tcBorders>
            <w:vAlign w:val="center"/>
          </w:tcPr>
          <w:p w14:paraId="269ABE4E">
            <w:pPr>
              <w:overflowPunct w:val="0"/>
              <w:adjustRightInd w:val="0"/>
              <w:snapToGrid w:val="0"/>
              <w:spacing w:after="0" w:line="240" w:lineRule="auto"/>
              <w:jc w:val="center"/>
              <w:rPr>
                <w:rFonts w:hint="default" w:ascii="Times New Roman" w:hAnsi="Times New Roman" w:eastAsia="宋体" w:cs="Times New Roman"/>
                <w:b/>
                <w:bCs/>
                <w:kern w:val="44"/>
                <w:sz w:val="21"/>
                <w:szCs w:val="21"/>
              </w:rPr>
            </w:pPr>
            <w:r>
              <w:rPr>
                <w:rFonts w:hint="default" w:ascii="Times New Roman" w:hAnsi="Times New Roman" w:eastAsia="宋体" w:cs="Times New Roman"/>
                <w:b/>
                <w:bCs/>
                <w:kern w:val="44"/>
                <w:sz w:val="21"/>
                <w:szCs w:val="21"/>
              </w:rPr>
              <w:t>2030年目标</w:t>
            </w:r>
          </w:p>
        </w:tc>
        <w:tc>
          <w:tcPr>
            <w:tcW w:w="1109" w:type="dxa"/>
            <w:tcBorders>
              <w:tl2br w:val="nil"/>
              <w:tr2bl w:val="nil"/>
            </w:tcBorders>
            <w:vAlign w:val="center"/>
          </w:tcPr>
          <w:p w14:paraId="1F46CD48">
            <w:pPr>
              <w:overflowPunct w:val="0"/>
              <w:adjustRightInd w:val="0"/>
              <w:snapToGrid w:val="0"/>
              <w:spacing w:after="0" w:line="240" w:lineRule="auto"/>
              <w:jc w:val="center"/>
              <w:rPr>
                <w:rFonts w:hint="default" w:ascii="Times New Roman" w:hAnsi="Times New Roman" w:eastAsia="宋体" w:cs="Times New Roman"/>
                <w:b/>
                <w:bCs/>
                <w:kern w:val="44"/>
                <w:sz w:val="21"/>
                <w:szCs w:val="21"/>
              </w:rPr>
            </w:pPr>
            <w:r>
              <w:rPr>
                <w:rFonts w:hint="default" w:ascii="Times New Roman" w:hAnsi="Times New Roman" w:eastAsia="宋体" w:cs="Times New Roman"/>
                <w:b/>
                <w:bCs/>
                <w:kern w:val="44"/>
                <w:sz w:val="21"/>
                <w:szCs w:val="21"/>
              </w:rPr>
              <w:t>属性</w:t>
            </w:r>
          </w:p>
        </w:tc>
      </w:tr>
      <w:tr w14:paraId="4179C5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Height w:val="425" w:hRule="atLeast"/>
          <w:jc w:val="center"/>
        </w:trPr>
        <w:tc>
          <w:tcPr>
            <w:tcW w:w="836" w:type="dxa"/>
            <w:tcBorders>
              <w:tl2br w:val="nil"/>
              <w:tr2bl w:val="nil"/>
            </w:tcBorders>
            <w:vAlign w:val="center"/>
          </w:tcPr>
          <w:p w14:paraId="663C79F1">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1</w:t>
            </w:r>
          </w:p>
        </w:tc>
        <w:tc>
          <w:tcPr>
            <w:tcW w:w="4544" w:type="dxa"/>
            <w:tcBorders>
              <w:tl2br w:val="nil"/>
              <w:tr2bl w:val="nil"/>
            </w:tcBorders>
            <w:vAlign w:val="center"/>
          </w:tcPr>
          <w:p w14:paraId="6B0361EB">
            <w:pPr>
              <w:overflowPunct w:val="0"/>
              <w:adjustRightInd w:val="0"/>
              <w:snapToGrid w:val="0"/>
              <w:spacing w:after="0" w:line="240" w:lineRule="auto"/>
              <w:jc w:val="both"/>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地区生产总值年均增速（%）</w:t>
            </w:r>
          </w:p>
        </w:tc>
        <w:tc>
          <w:tcPr>
            <w:tcW w:w="2093" w:type="dxa"/>
            <w:tcBorders>
              <w:tl2br w:val="nil"/>
              <w:tr2bl w:val="nil"/>
            </w:tcBorders>
            <w:vAlign w:val="center"/>
          </w:tcPr>
          <w:p w14:paraId="0E568C21">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5以上</w:t>
            </w:r>
          </w:p>
        </w:tc>
        <w:tc>
          <w:tcPr>
            <w:tcW w:w="1109" w:type="dxa"/>
            <w:tcBorders>
              <w:tl2br w:val="nil"/>
              <w:tr2bl w:val="nil"/>
            </w:tcBorders>
            <w:vAlign w:val="center"/>
          </w:tcPr>
          <w:p w14:paraId="258190AF">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预期性</w:t>
            </w:r>
          </w:p>
        </w:tc>
      </w:tr>
      <w:tr w14:paraId="6ABF32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Height w:val="425" w:hRule="atLeast"/>
          <w:jc w:val="center"/>
        </w:trPr>
        <w:tc>
          <w:tcPr>
            <w:tcW w:w="836" w:type="dxa"/>
            <w:tcBorders>
              <w:tl2br w:val="nil"/>
              <w:tr2bl w:val="nil"/>
            </w:tcBorders>
            <w:vAlign w:val="center"/>
          </w:tcPr>
          <w:p w14:paraId="54D27FA6">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2</w:t>
            </w:r>
          </w:p>
        </w:tc>
        <w:tc>
          <w:tcPr>
            <w:tcW w:w="4544" w:type="dxa"/>
            <w:tcBorders>
              <w:tl2br w:val="nil"/>
              <w:tr2bl w:val="nil"/>
            </w:tcBorders>
            <w:vAlign w:val="center"/>
          </w:tcPr>
          <w:p w14:paraId="23E35927">
            <w:pPr>
              <w:overflowPunct w:val="0"/>
              <w:adjustRightInd w:val="0"/>
              <w:snapToGrid w:val="0"/>
              <w:spacing w:after="0" w:line="240" w:lineRule="auto"/>
              <w:jc w:val="both"/>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全员劳动生产率（万元/人）</w:t>
            </w:r>
          </w:p>
        </w:tc>
        <w:tc>
          <w:tcPr>
            <w:tcW w:w="2093" w:type="dxa"/>
            <w:tcBorders>
              <w:tl2br w:val="nil"/>
              <w:tr2bl w:val="nil"/>
            </w:tcBorders>
            <w:vAlign w:val="center"/>
          </w:tcPr>
          <w:p w14:paraId="18176A21">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50以上</w:t>
            </w:r>
          </w:p>
        </w:tc>
        <w:tc>
          <w:tcPr>
            <w:tcW w:w="1109" w:type="dxa"/>
            <w:tcBorders>
              <w:tl2br w:val="nil"/>
              <w:tr2bl w:val="nil"/>
            </w:tcBorders>
            <w:vAlign w:val="center"/>
          </w:tcPr>
          <w:p w14:paraId="379E32D3">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预期性</w:t>
            </w:r>
          </w:p>
        </w:tc>
      </w:tr>
      <w:tr w14:paraId="03666D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Height w:val="425" w:hRule="atLeast"/>
          <w:jc w:val="center"/>
        </w:trPr>
        <w:tc>
          <w:tcPr>
            <w:tcW w:w="836" w:type="dxa"/>
            <w:tcBorders>
              <w:tl2br w:val="nil"/>
              <w:tr2bl w:val="nil"/>
            </w:tcBorders>
            <w:vAlign w:val="center"/>
          </w:tcPr>
          <w:p w14:paraId="448B7BE9">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3</w:t>
            </w:r>
          </w:p>
        </w:tc>
        <w:tc>
          <w:tcPr>
            <w:tcW w:w="4544" w:type="dxa"/>
            <w:tcBorders>
              <w:tl2br w:val="nil"/>
              <w:tr2bl w:val="nil"/>
            </w:tcBorders>
            <w:vAlign w:val="center"/>
          </w:tcPr>
          <w:p w14:paraId="02D09790">
            <w:pPr>
              <w:overflowPunct w:val="0"/>
              <w:adjustRightInd w:val="0"/>
              <w:snapToGrid w:val="0"/>
              <w:spacing w:after="0" w:line="240" w:lineRule="auto"/>
              <w:jc w:val="both"/>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制造业增加值占地区生产总值比重（%）</w:t>
            </w:r>
          </w:p>
        </w:tc>
        <w:tc>
          <w:tcPr>
            <w:tcW w:w="2093" w:type="dxa"/>
            <w:tcBorders>
              <w:tl2br w:val="nil"/>
              <w:tr2bl w:val="nil"/>
            </w:tcBorders>
            <w:vAlign w:val="center"/>
          </w:tcPr>
          <w:p w14:paraId="065B6566">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50左右</w:t>
            </w:r>
          </w:p>
        </w:tc>
        <w:tc>
          <w:tcPr>
            <w:tcW w:w="1109" w:type="dxa"/>
            <w:tcBorders>
              <w:tl2br w:val="nil"/>
              <w:tr2bl w:val="nil"/>
            </w:tcBorders>
            <w:vAlign w:val="center"/>
          </w:tcPr>
          <w:p w14:paraId="2420CA02">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预期性</w:t>
            </w:r>
          </w:p>
        </w:tc>
      </w:tr>
      <w:tr w14:paraId="3DE757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Height w:val="425" w:hRule="atLeast"/>
          <w:jc w:val="center"/>
        </w:trPr>
        <w:tc>
          <w:tcPr>
            <w:tcW w:w="836" w:type="dxa"/>
            <w:tcBorders>
              <w:tl2br w:val="nil"/>
              <w:tr2bl w:val="nil"/>
            </w:tcBorders>
            <w:vAlign w:val="center"/>
          </w:tcPr>
          <w:p w14:paraId="63F2A3F9">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4</w:t>
            </w:r>
          </w:p>
        </w:tc>
        <w:tc>
          <w:tcPr>
            <w:tcW w:w="4544" w:type="dxa"/>
            <w:tcBorders>
              <w:tl2br w:val="nil"/>
              <w:tr2bl w:val="nil"/>
            </w:tcBorders>
            <w:vAlign w:val="center"/>
          </w:tcPr>
          <w:p w14:paraId="46CC2BF7">
            <w:pPr>
              <w:overflowPunct w:val="0"/>
              <w:adjustRightInd w:val="0"/>
              <w:snapToGrid w:val="0"/>
              <w:spacing w:after="0" w:line="240" w:lineRule="auto"/>
              <w:jc w:val="both"/>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战略性新兴产业产值占规上工业产值比重（%）</w:t>
            </w:r>
          </w:p>
        </w:tc>
        <w:tc>
          <w:tcPr>
            <w:tcW w:w="2093" w:type="dxa"/>
            <w:tcBorders>
              <w:tl2br w:val="nil"/>
              <w:tr2bl w:val="nil"/>
            </w:tcBorders>
            <w:vAlign w:val="center"/>
          </w:tcPr>
          <w:p w14:paraId="35DA5185">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65</w:t>
            </w:r>
          </w:p>
        </w:tc>
        <w:tc>
          <w:tcPr>
            <w:tcW w:w="1109" w:type="dxa"/>
            <w:tcBorders>
              <w:tl2br w:val="nil"/>
              <w:tr2bl w:val="nil"/>
            </w:tcBorders>
            <w:vAlign w:val="center"/>
          </w:tcPr>
          <w:p w14:paraId="0D9C0BFC">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预期性</w:t>
            </w:r>
          </w:p>
        </w:tc>
      </w:tr>
      <w:tr w14:paraId="2D95064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Height w:val="425" w:hRule="atLeast"/>
          <w:jc w:val="center"/>
        </w:trPr>
        <w:tc>
          <w:tcPr>
            <w:tcW w:w="836" w:type="dxa"/>
            <w:tcBorders>
              <w:tl2br w:val="nil"/>
              <w:tr2bl w:val="nil"/>
            </w:tcBorders>
            <w:vAlign w:val="center"/>
          </w:tcPr>
          <w:p w14:paraId="235874FD">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5</w:t>
            </w:r>
          </w:p>
        </w:tc>
        <w:tc>
          <w:tcPr>
            <w:tcW w:w="4544" w:type="dxa"/>
            <w:tcBorders>
              <w:tl2br w:val="nil"/>
              <w:tr2bl w:val="nil"/>
            </w:tcBorders>
            <w:vAlign w:val="center"/>
          </w:tcPr>
          <w:p w14:paraId="5DE260C9">
            <w:pPr>
              <w:overflowPunct w:val="0"/>
              <w:adjustRightInd w:val="0"/>
              <w:snapToGrid w:val="0"/>
              <w:spacing w:after="0" w:line="240" w:lineRule="auto"/>
              <w:jc w:val="both"/>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社会消费品零售总额年均增速（%）</w:t>
            </w:r>
          </w:p>
        </w:tc>
        <w:tc>
          <w:tcPr>
            <w:tcW w:w="2093" w:type="dxa"/>
            <w:tcBorders>
              <w:tl2br w:val="nil"/>
              <w:tr2bl w:val="nil"/>
            </w:tcBorders>
            <w:vAlign w:val="center"/>
          </w:tcPr>
          <w:p w14:paraId="1E5735FD">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3左右</w:t>
            </w:r>
          </w:p>
        </w:tc>
        <w:tc>
          <w:tcPr>
            <w:tcW w:w="1109" w:type="dxa"/>
            <w:tcBorders>
              <w:tl2br w:val="nil"/>
              <w:tr2bl w:val="nil"/>
            </w:tcBorders>
            <w:vAlign w:val="center"/>
          </w:tcPr>
          <w:p w14:paraId="2ABC8B26">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预期性</w:t>
            </w:r>
          </w:p>
        </w:tc>
      </w:tr>
      <w:tr w14:paraId="188D185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Height w:val="425" w:hRule="atLeast"/>
          <w:jc w:val="center"/>
        </w:trPr>
        <w:tc>
          <w:tcPr>
            <w:tcW w:w="836" w:type="dxa"/>
            <w:tcBorders>
              <w:tl2br w:val="nil"/>
              <w:tr2bl w:val="nil"/>
            </w:tcBorders>
            <w:vAlign w:val="center"/>
          </w:tcPr>
          <w:p w14:paraId="7F4C5747">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6</w:t>
            </w:r>
          </w:p>
        </w:tc>
        <w:tc>
          <w:tcPr>
            <w:tcW w:w="4544" w:type="dxa"/>
            <w:tcBorders>
              <w:tl2br w:val="nil"/>
              <w:tr2bl w:val="nil"/>
            </w:tcBorders>
            <w:vAlign w:val="center"/>
          </w:tcPr>
          <w:p w14:paraId="41736E05">
            <w:pPr>
              <w:overflowPunct w:val="0"/>
              <w:adjustRightInd w:val="0"/>
              <w:snapToGrid w:val="0"/>
              <w:spacing w:after="0" w:line="240" w:lineRule="auto"/>
              <w:jc w:val="both"/>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生产性服务业增加值占服务业增加值比重（%）</w:t>
            </w:r>
          </w:p>
        </w:tc>
        <w:tc>
          <w:tcPr>
            <w:tcW w:w="2093" w:type="dxa"/>
            <w:tcBorders>
              <w:tl2br w:val="nil"/>
              <w:tr2bl w:val="nil"/>
            </w:tcBorders>
            <w:vAlign w:val="center"/>
          </w:tcPr>
          <w:p w14:paraId="34634488">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5</w:t>
            </w:r>
            <w:r>
              <w:rPr>
                <w:rFonts w:hint="default" w:ascii="Times New Roman" w:hAnsi="Times New Roman" w:eastAsia="宋体" w:cs="Times New Roman"/>
                <w:kern w:val="44"/>
                <w:sz w:val="21"/>
                <w:szCs w:val="21"/>
                <w:lang w:val="en-US" w:eastAsia="zh-CN"/>
              </w:rPr>
              <w:t>6</w:t>
            </w:r>
            <w:r>
              <w:rPr>
                <w:rFonts w:hint="default" w:ascii="Times New Roman" w:hAnsi="Times New Roman" w:eastAsia="宋体" w:cs="Times New Roman"/>
                <w:kern w:val="44"/>
                <w:sz w:val="21"/>
                <w:szCs w:val="21"/>
              </w:rPr>
              <w:t>左右</w:t>
            </w:r>
          </w:p>
        </w:tc>
        <w:tc>
          <w:tcPr>
            <w:tcW w:w="1109" w:type="dxa"/>
            <w:tcBorders>
              <w:tl2br w:val="nil"/>
              <w:tr2bl w:val="nil"/>
            </w:tcBorders>
            <w:vAlign w:val="center"/>
          </w:tcPr>
          <w:p w14:paraId="78933F3E">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预期性</w:t>
            </w:r>
          </w:p>
        </w:tc>
      </w:tr>
      <w:tr w14:paraId="660C9A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Height w:val="425" w:hRule="atLeast"/>
          <w:jc w:val="center"/>
        </w:trPr>
        <w:tc>
          <w:tcPr>
            <w:tcW w:w="836" w:type="dxa"/>
            <w:tcBorders>
              <w:tl2br w:val="nil"/>
              <w:tr2bl w:val="nil"/>
            </w:tcBorders>
            <w:vAlign w:val="center"/>
          </w:tcPr>
          <w:p w14:paraId="454C790B">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7</w:t>
            </w:r>
          </w:p>
        </w:tc>
        <w:tc>
          <w:tcPr>
            <w:tcW w:w="4544" w:type="dxa"/>
            <w:tcBorders>
              <w:tl2br w:val="nil"/>
              <w:tr2bl w:val="nil"/>
            </w:tcBorders>
            <w:vAlign w:val="center"/>
          </w:tcPr>
          <w:p w14:paraId="6EECD776">
            <w:pPr>
              <w:overflowPunct w:val="0"/>
              <w:adjustRightInd w:val="0"/>
              <w:snapToGrid w:val="0"/>
              <w:spacing w:after="0" w:line="240" w:lineRule="auto"/>
              <w:jc w:val="both"/>
              <w:rPr>
                <w:rFonts w:hint="default" w:ascii="Times New Roman" w:hAnsi="Times New Roman" w:eastAsia="宋体" w:cs="Times New Roman"/>
                <w:kern w:val="44"/>
                <w:sz w:val="21"/>
                <w:szCs w:val="21"/>
              </w:rPr>
            </w:pPr>
            <w:r>
              <w:rPr>
                <w:rFonts w:hint="default" w:ascii="Times New Roman" w:hAnsi="Times New Roman" w:eastAsia="宋体" w:cs="Times New Roman"/>
                <w:snapToGrid w:val="0"/>
                <w:kern w:val="0"/>
                <w:sz w:val="21"/>
                <w:szCs w:val="21"/>
              </w:rPr>
              <w:t>规上数字经济核心产业企业营业收入占比（%）</w:t>
            </w:r>
          </w:p>
        </w:tc>
        <w:tc>
          <w:tcPr>
            <w:tcW w:w="2093" w:type="dxa"/>
            <w:tcBorders>
              <w:tl2br w:val="nil"/>
              <w:tr2bl w:val="nil"/>
            </w:tcBorders>
            <w:vAlign w:val="center"/>
          </w:tcPr>
          <w:p w14:paraId="4DC7AC44">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65</w:t>
            </w:r>
          </w:p>
        </w:tc>
        <w:tc>
          <w:tcPr>
            <w:tcW w:w="1109" w:type="dxa"/>
            <w:tcBorders>
              <w:tl2br w:val="nil"/>
              <w:tr2bl w:val="nil"/>
            </w:tcBorders>
            <w:vAlign w:val="center"/>
          </w:tcPr>
          <w:p w14:paraId="30979414">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预期性</w:t>
            </w:r>
          </w:p>
        </w:tc>
      </w:tr>
      <w:tr w14:paraId="4FD796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Height w:val="425" w:hRule="atLeast"/>
          <w:jc w:val="center"/>
        </w:trPr>
        <w:tc>
          <w:tcPr>
            <w:tcW w:w="836" w:type="dxa"/>
            <w:tcBorders>
              <w:tl2br w:val="nil"/>
              <w:tr2bl w:val="nil"/>
            </w:tcBorders>
            <w:vAlign w:val="center"/>
          </w:tcPr>
          <w:p w14:paraId="7CEB5511">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8</w:t>
            </w:r>
          </w:p>
        </w:tc>
        <w:tc>
          <w:tcPr>
            <w:tcW w:w="4544" w:type="dxa"/>
            <w:tcBorders>
              <w:tl2br w:val="nil"/>
              <w:tr2bl w:val="nil"/>
            </w:tcBorders>
            <w:vAlign w:val="center"/>
          </w:tcPr>
          <w:p w14:paraId="50F325D1">
            <w:pPr>
              <w:overflowPunct w:val="0"/>
              <w:adjustRightInd w:val="0"/>
              <w:snapToGrid w:val="0"/>
              <w:spacing w:after="0" w:line="240" w:lineRule="auto"/>
              <w:jc w:val="both"/>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全社会研发</w:t>
            </w:r>
            <w:r>
              <w:rPr>
                <w:rFonts w:hint="default" w:ascii="Times New Roman" w:hAnsi="Times New Roman" w:eastAsia="宋体" w:cs="Times New Roman"/>
                <w:kern w:val="44"/>
                <w:sz w:val="21"/>
                <w:szCs w:val="21"/>
                <w:lang w:val="en-US" w:eastAsia="zh-CN"/>
              </w:rPr>
              <w:t>经费投入</w:t>
            </w:r>
            <w:r>
              <w:rPr>
                <w:rFonts w:hint="default" w:ascii="Times New Roman" w:hAnsi="Times New Roman" w:eastAsia="宋体" w:cs="Times New Roman"/>
                <w:kern w:val="44"/>
                <w:sz w:val="21"/>
                <w:szCs w:val="21"/>
              </w:rPr>
              <w:t>占地区生产总值比重（%）</w:t>
            </w:r>
          </w:p>
        </w:tc>
        <w:tc>
          <w:tcPr>
            <w:tcW w:w="2093" w:type="dxa"/>
            <w:tcBorders>
              <w:tl2br w:val="nil"/>
              <w:tr2bl w:val="nil"/>
            </w:tcBorders>
            <w:vAlign w:val="center"/>
          </w:tcPr>
          <w:p w14:paraId="1ECD1BD2">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4.0</w:t>
            </w:r>
          </w:p>
        </w:tc>
        <w:tc>
          <w:tcPr>
            <w:tcW w:w="1109" w:type="dxa"/>
            <w:tcBorders>
              <w:tl2br w:val="nil"/>
              <w:tr2bl w:val="nil"/>
            </w:tcBorders>
            <w:vAlign w:val="center"/>
          </w:tcPr>
          <w:p w14:paraId="2CD2180A">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预期性</w:t>
            </w:r>
          </w:p>
        </w:tc>
      </w:tr>
      <w:tr w14:paraId="75979A8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Height w:val="425" w:hRule="atLeast"/>
          <w:jc w:val="center"/>
        </w:trPr>
        <w:tc>
          <w:tcPr>
            <w:tcW w:w="836" w:type="dxa"/>
            <w:tcBorders>
              <w:tl2br w:val="nil"/>
              <w:tr2bl w:val="nil"/>
            </w:tcBorders>
            <w:vAlign w:val="center"/>
          </w:tcPr>
          <w:p w14:paraId="16ED8743">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9</w:t>
            </w:r>
          </w:p>
        </w:tc>
        <w:tc>
          <w:tcPr>
            <w:tcW w:w="4544" w:type="dxa"/>
            <w:tcBorders>
              <w:tl2br w:val="nil"/>
              <w:tr2bl w:val="nil"/>
            </w:tcBorders>
            <w:vAlign w:val="center"/>
          </w:tcPr>
          <w:p w14:paraId="056164DF">
            <w:pPr>
              <w:overflowPunct w:val="0"/>
              <w:adjustRightInd w:val="0"/>
              <w:snapToGrid w:val="0"/>
              <w:spacing w:after="0" w:line="240" w:lineRule="auto"/>
              <w:jc w:val="both"/>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每万人</w:t>
            </w:r>
            <w:r>
              <w:rPr>
                <w:rFonts w:hint="default" w:ascii="Times New Roman" w:hAnsi="Times New Roman" w:eastAsia="宋体" w:cs="Times New Roman"/>
                <w:kern w:val="44"/>
                <w:sz w:val="21"/>
                <w:szCs w:val="21"/>
                <w:lang w:val="en-US" w:eastAsia="zh-CN"/>
              </w:rPr>
              <w:t>口</w:t>
            </w:r>
            <w:r>
              <w:rPr>
                <w:rFonts w:hint="default" w:ascii="Times New Roman" w:hAnsi="Times New Roman" w:eastAsia="宋体" w:cs="Times New Roman"/>
                <w:kern w:val="44"/>
                <w:sz w:val="21"/>
                <w:szCs w:val="21"/>
              </w:rPr>
              <w:t>高价值发明专利拥有量（件）</w:t>
            </w:r>
          </w:p>
        </w:tc>
        <w:tc>
          <w:tcPr>
            <w:tcW w:w="2093" w:type="dxa"/>
            <w:tcBorders>
              <w:tl2br w:val="nil"/>
              <w:tr2bl w:val="nil"/>
            </w:tcBorders>
            <w:vAlign w:val="center"/>
          </w:tcPr>
          <w:p w14:paraId="0C3B308B">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75</w:t>
            </w:r>
          </w:p>
        </w:tc>
        <w:tc>
          <w:tcPr>
            <w:tcW w:w="1109" w:type="dxa"/>
            <w:tcBorders>
              <w:tl2br w:val="nil"/>
              <w:tr2bl w:val="nil"/>
            </w:tcBorders>
            <w:vAlign w:val="center"/>
          </w:tcPr>
          <w:p w14:paraId="5BED3530">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预期性</w:t>
            </w:r>
          </w:p>
        </w:tc>
      </w:tr>
      <w:tr w14:paraId="0B8A495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Height w:val="398" w:hRule="atLeast"/>
          <w:jc w:val="center"/>
        </w:trPr>
        <w:tc>
          <w:tcPr>
            <w:tcW w:w="836" w:type="dxa"/>
            <w:tcBorders>
              <w:tl2br w:val="nil"/>
              <w:tr2bl w:val="nil"/>
            </w:tcBorders>
            <w:vAlign w:val="center"/>
          </w:tcPr>
          <w:p w14:paraId="42DF176E">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10</w:t>
            </w:r>
          </w:p>
        </w:tc>
        <w:tc>
          <w:tcPr>
            <w:tcW w:w="4544" w:type="dxa"/>
            <w:tcBorders>
              <w:tl2br w:val="nil"/>
              <w:tr2bl w:val="nil"/>
            </w:tcBorders>
            <w:vAlign w:val="center"/>
          </w:tcPr>
          <w:p w14:paraId="70D14DCC">
            <w:pPr>
              <w:overflowPunct w:val="0"/>
              <w:adjustRightInd w:val="0"/>
              <w:snapToGrid w:val="0"/>
              <w:spacing w:after="0" w:line="240" w:lineRule="auto"/>
              <w:jc w:val="both"/>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国家高新技术企业数（家）</w:t>
            </w:r>
          </w:p>
        </w:tc>
        <w:tc>
          <w:tcPr>
            <w:tcW w:w="2093" w:type="dxa"/>
            <w:tcBorders>
              <w:tl2br w:val="nil"/>
              <w:tr2bl w:val="nil"/>
            </w:tcBorders>
            <w:vAlign w:val="center"/>
          </w:tcPr>
          <w:p w14:paraId="273B63B5">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4000左右</w:t>
            </w:r>
          </w:p>
        </w:tc>
        <w:tc>
          <w:tcPr>
            <w:tcW w:w="1109" w:type="dxa"/>
            <w:tcBorders>
              <w:tl2br w:val="nil"/>
              <w:tr2bl w:val="nil"/>
            </w:tcBorders>
            <w:vAlign w:val="center"/>
          </w:tcPr>
          <w:p w14:paraId="3CE22894">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预期性</w:t>
            </w:r>
          </w:p>
        </w:tc>
      </w:tr>
      <w:tr w14:paraId="14E344E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Height w:val="425" w:hRule="atLeast"/>
          <w:jc w:val="center"/>
        </w:trPr>
        <w:tc>
          <w:tcPr>
            <w:tcW w:w="836" w:type="dxa"/>
            <w:tcBorders>
              <w:tl2br w:val="nil"/>
              <w:tr2bl w:val="nil"/>
            </w:tcBorders>
            <w:vAlign w:val="center"/>
          </w:tcPr>
          <w:p w14:paraId="461BA293">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11</w:t>
            </w:r>
          </w:p>
        </w:tc>
        <w:tc>
          <w:tcPr>
            <w:tcW w:w="4544" w:type="dxa"/>
            <w:tcBorders>
              <w:tl2br w:val="nil"/>
              <w:tr2bl w:val="nil"/>
            </w:tcBorders>
            <w:vAlign w:val="center"/>
          </w:tcPr>
          <w:p w14:paraId="5E0502FD">
            <w:pPr>
              <w:overflowPunct w:val="0"/>
              <w:adjustRightInd w:val="0"/>
              <w:snapToGrid w:val="0"/>
              <w:spacing w:after="0" w:line="240" w:lineRule="auto"/>
              <w:jc w:val="both"/>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省级以上“专精特新”企业总数（家）</w:t>
            </w:r>
          </w:p>
        </w:tc>
        <w:tc>
          <w:tcPr>
            <w:tcW w:w="2093" w:type="dxa"/>
            <w:tcBorders>
              <w:tl2br w:val="nil"/>
              <w:tr2bl w:val="nil"/>
            </w:tcBorders>
            <w:vAlign w:val="center"/>
          </w:tcPr>
          <w:p w14:paraId="525EB9E5">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2000</w:t>
            </w:r>
          </w:p>
        </w:tc>
        <w:tc>
          <w:tcPr>
            <w:tcW w:w="1109" w:type="dxa"/>
            <w:tcBorders>
              <w:tl2br w:val="nil"/>
              <w:tr2bl w:val="nil"/>
            </w:tcBorders>
            <w:vAlign w:val="center"/>
          </w:tcPr>
          <w:p w14:paraId="4C84914B">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预期性</w:t>
            </w:r>
          </w:p>
        </w:tc>
      </w:tr>
      <w:tr w14:paraId="501EAA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Height w:val="425" w:hRule="atLeast"/>
          <w:jc w:val="center"/>
        </w:trPr>
        <w:tc>
          <w:tcPr>
            <w:tcW w:w="836" w:type="dxa"/>
            <w:tcBorders>
              <w:tl2br w:val="nil"/>
              <w:tr2bl w:val="nil"/>
            </w:tcBorders>
            <w:vAlign w:val="center"/>
          </w:tcPr>
          <w:p w14:paraId="524BC36F">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12</w:t>
            </w:r>
          </w:p>
        </w:tc>
        <w:tc>
          <w:tcPr>
            <w:tcW w:w="4544" w:type="dxa"/>
            <w:tcBorders>
              <w:tl2br w:val="nil"/>
              <w:tr2bl w:val="nil"/>
            </w:tcBorders>
            <w:vAlign w:val="center"/>
          </w:tcPr>
          <w:p w14:paraId="269BD977">
            <w:pPr>
              <w:overflowPunct w:val="0"/>
              <w:adjustRightInd w:val="0"/>
              <w:snapToGrid w:val="0"/>
              <w:spacing w:after="0" w:line="240" w:lineRule="auto"/>
              <w:jc w:val="both"/>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高层次人才总量（万人）</w:t>
            </w:r>
          </w:p>
        </w:tc>
        <w:tc>
          <w:tcPr>
            <w:tcW w:w="2093" w:type="dxa"/>
            <w:tcBorders>
              <w:tl2br w:val="nil"/>
              <w:tr2bl w:val="nil"/>
            </w:tcBorders>
            <w:vAlign w:val="center"/>
          </w:tcPr>
          <w:p w14:paraId="471411D6">
            <w:pPr>
              <w:overflowPunct w:val="0"/>
              <w:adjustRightInd w:val="0"/>
              <w:snapToGrid w:val="0"/>
              <w:spacing w:after="0" w:line="240" w:lineRule="auto"/>
              <w:jc w:val="center"/>
              <w:rPr>
                <w:rFonts w:hint="default" w:ascii="Times New Roman" w:hAnsi="Times New Roman" w:eastAsia="宋体" w:cs="Times New Roman"/>
                <w:strike/>
                <w:kern w:val="44"/>
                <w:sz w:val="21"/>
                <w:szCs w:val="21"/>
              </w:rPr>
            </w:pPr>
            <w:r>
              <w:rPr>
                <w:rFonts w:hint="default" w:ascii="Times New Roman" w:hAnsi="Times New Roman" w:eastAsia="宋体" w:cs="Times New Roman"/>
                <w:kern w:val="44"/>
                <w:sz w:val="21"/>
                <w:szCs w:val="21"/>
              </w:rPr>
              <w:t>8</w:t>
            </w:r>
          </w:p>
        </w:tc>
        <w:tc>
          <w:tcPr>
            <w:tcW w:w="1109" w:type="dxa"/>
            <w:tcBorders>
              <w:tl2br w:val="nil"/>
              <w:tr2bl w:val="nil"/>
            </w:tcBorders>
            <w:vAlign w:val="center"/>
          </w:tcPr>
          <w:p w14:paraId="7D13ED81">
            <w:pPr>
              <w:overflowPunct w:val="0"/>
              <w:adjustRightInd w:val="0"/>
              <w:snapToGrid w:val="0"/>
              <w:spacing w:after="0" w:line="240" w:lineRule="auto"/>
              <w:jc w:val="center"/>
              <w:rPr>
                <w:rFonts w:hint="default" w:ascii="Times New Roman" w:hAnsi="Times New Roman" w:eastAsia="宋体" w:cs="Times New Roman"/>
                <w:strike/>
                <w:kern w:val="44"/>
                <w:sz w:val="21"/>
                <w:szCs w:val="21"/>
              </w:rPr>
            </w:pPr>
            <w:r>
              <w:rPr>
                <w:rFonts w:hint="default" w:ascii="Times New Roman" w:hAnsi="Times New Roman" w:eastAsia="宋体" w:cs="Times New Roman"/>
                <w:kern w:val="44"/>
                <w:sz w:val="21"/>
                <w:szCs w:val="21"/>
              </w:rPr>
              <w:t>预期性</w:t>
            </w:r>
          </w:p>
        </w:tc>
      </w:tr>
      <w:tr w14:paraId="6961651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Height w:val="425" w:hRule="atLeast"/>
          <w:jc w:val="center"/>
        </w:trPr>
        <w:tc>
          <w:tcPr>
            <w:tcW w:w="836" w:type="dxa"/>
            <w:tcBorders>
              <w:tl2br w:val="nil"/>
              <w:tr2bl w:val="nil"/>
            </w:tcBorders>
            <w:vAlign w:val="center"/>
          </w:tcPr>
          <w:p w14:paraId="274DE8A9">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13</w:t>
            </w:r>
          </w:p>
        </w:tc>
        <w:tc>
          <w:tcPr>
            <w:tcW w:w="4544" w:type="dxa"/>
            <w:tcBorders>
              <w:tl2br w:val="nil"/>
              <w:tr2bl w:val="nil"/>
            </w:tcBorders>
            <w:vAlign w:val="center"/>
          </w:tcPr>
          <w:p w14:paraId="1A75CE77">
            <w:pPr>
              <w:overflowPunct w:val="0"/>
              <w:adjustRightInd w:val="0"/>
              <w:snapToGrid w:val="0"/>
              <w:spacing w:after="0" w:line="240" w:lineRule="auto"/>
              <w:jc w:val="both"/>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城乡居民收入比</w:t>
            </w:r>
          </w:p>
        </w:tc>
        <w:tc>
          <w:tcPr>
            <w:tcW w:w="2093" w:type="dxa"/>
            <w:tcBorders>
              <w:tl2br w:val="nil"/>
              <w:tr2bl w:val="nil"/>
            </w:tcBorders>
            <w:vAlign w:val="center"/>
          </w:tcPr>
          <w:p w14:paraId="18216F2B">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力争1.7:1</w:t>
            </w:r>
          </w:p>
        </w:tc>
        <w:tc>
          <w:tcPr>
            <w:tcW w:w="1109" w:type="dxa"/>
            <w:tcBorders>
              <w:tl2br w:val="nil"/>
              <w:tr2bl w:val="nil"/>
            </w:tcBorders>
            <w:vAlign w:val="center"/>
          </w:tcPr>
          <w:p w14:paraId="33C9D2E4">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预期性</w:t>
            </w:r>
          </w:p>
        </w:tc>
      </w:tr>
      <w:tr w14:paraId="5CB657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Height w:val="425" w:hRule="atLeast"/>
          <w:jc w:val="center"/>
        </w:trPr>
        <w:tc>
          <w:tcPr>
            <w:tcW w:w="836" w:type="dxa"/>
            <w:tcBorders>
              <w:tl2br w:val="nil"/>
              <w:tr2bl w:val="nil"/>
            </w:tcBorders>
            <w:vAlign w:val="center"/>
          </w:tcPr>
          <w:p w14:paraId="0D075A8E">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14</w:t>
            </w:r>
          </w:p>
        </w:tc>
        <w:tc>
          <w:tcPr>
            <w:tcW w:w="4544" w:type="dxa"/>
            <w:tcBorders>
              <w:tl2br w:val="nil"/>
              <w:tr2bl w:val="nil"/>
            </w:tcBorders>
            <w:vAlign w:val="center"/>
          </w:tcPr>
          <w:p w14:paraId="202B8CBD">
            <w:pPr>
              <w:overflowPunct w:val="0"/>
              <w:adjustRightInd w:val="0"/>
              <w:snapToGrid w:val="0"/>
              <w:spacing w:after="0" w:line="240" w:lineRule="auto"/>
              <w:jc w:val="both"/>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新增产业用地更新（亩）</w:t>
            </w:r>
          </w:p>
        </w:tc>
        <w:tc>
          <w:tcPr>
            <w:tcW w:w="2093" w:type="dxa"/>
            <w:tcBorders>
              <w:tl2br w:val="nil"/>
              <w:tr2bl w:val="nil"/>
            </w:tcBorders>
            <w:vAlign w:val="center"/>
          </w:tcPr>
          <w:p w14:paraId="60BAA93A">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30000</w:t>
            </w:r>
          </w:p>
        </w:tc>
        <w:tc>
          <w:tcPr>
            <w:tcW w:w="1109" w:type="dxa"/>
            <w:tcBorders>
              <w:tl2br w:val="nil"/>
              <w:tr2bl w:val="nil"/>
            </w:tcBorders>
            <w:vAlign w:val="center"/>
          </w:tcPr>
          <w:p w14:paraId="58653595">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预期性</w:t>
            </w:r>
          </w:p>
        </w:tc>
      </w:tr>
      <w:tr w14:paraId="3B4FAC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Height w:val="425" w:hRule="atLeast"/>
          <w:jc w:val="center"/>
        </w:trPr>
        <w:tc>
          <w:tcPr>
            <w:tcW w:w="836" w:type="dxa"/>
            <w:tcBorders>
              <w:tl2br w:val="nil"/>
              <w:tr2bl w:val="nil"/>
            </w:tcBorders>
            <w:vAlign w:val="center"/>
          </w:tcPr>
          <w:p w14:paraId="0B917FFE">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15</w:t>
            </w:r>
          </w:p>
        </w:tc>
        <w:tc>
          <w:tcPr>
            <w:tcW w:w="4544" w:type="dxa"/>
            <w:tcBorders>
              <w:tl2br w:val="nil"/>
              <w:tr2bl w:val="nil"/>
            </w:tcBorders>
            <w:vAlign w:val="center"/>
          </w:tcPr>
          <w:p w14:paraId="2BE185F4">
            <w:pPr>
              <w:overflowPunct w:val="0"/>
              <w:adjustRightInd w:val="0"/>
              <w:snapToGrid w:val="0"/>
              <w:spacing w:after="0" w:line="240" w:lineRule="auto"/>
              <w:jc w:val="both"/>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村均经营性收入（万元）</w:t>
            </w:r>
          </w:p>
        </w:tc>
        <w:tc>
          <w:tcPr>
            <w:tcW w:w="2093" w:type="dxa"/>
            <w:tcBorders>
              <w:tl2br w:val="nil"/>
              <w:tr2bl w:val="nil"/>
            </w:tcBorders>
            <w:vAlign w:val="center"/>
          </w:tcPr>
          <w:p w14:paraId="42D1083F">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&gt;1000</w:t>
            </w:r>
          </w:p>
        </w:tc>
        <w:tc>
          <w:tcPr>
            <w:tcW w:w="1109" w:type="dxa"/>
            <w:tcBorders>
              <w:tl2br w:val="nil"/>
              <w:tr2bl w:val="nil"/>
            </w:tcBorders>
            <w:vAlign w:val="center"/>
          </w:tcPr>
          <w:p w14:paraId="29EF85AB">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预期性</w:t>
            </w:r>
          </w:p>
        </w:tc>
      </w:tr>
      <w:tr w14:paraId="7243B4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Height w:val="425" w:hRule="atLeast"/>
          <w:jc w:val="center"/>
        </w:trPr>
        <w:tc>
          <w:tcPr>
            <w:tcW w:w="836" w:type="dxa"/>
            <w:tcBorders>
              <w:tl2br w:val="nil"/>
              <w:tr2bl w:val="nil"/>
            </w:tcBorders>
            <w:vAlign w:val="center"/>
          </w:tcPr>
          <w:p w14:paraId="2E0EBD0A">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16</w:t>
            </w:r>
          </w:p>
        </w:tc>
        <w:tc>
          <w:tcPr>
            <w:tcW w:w="4544" w:type="dxa"/>
            <w:tcBorders>
              <w:tl2br w:val="nil"/>
              <w:tr2bl w:val="nil"/>
            </w:tcBorders>
            <w:vAlign w:val="center"/>
          </w:tcPr>
          <w:p w14:paraId="36C33658">
            <w:pPr>
              <w:overflowPunct w:val="0"/>
              <w:adjustRightInd w:val="0"/>
              <w:snapToGrid w:val="0"/>
              <w:spacing w:after="0" w:line="240" w:lineRule="auto"/>
              <w:jc w:val="both"/>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单位地区生产总值二氧化碳排放降低率（%）</w:t>
            </w:r>
          </w:p>
        </w:tc>
        <w:tc>
          <w:tcPr>
            <w:tcW w:w="2093" w:type="dxa"/>
            <w:tcBorders>
              <w:tl2br w:val="nil"/>
              <w:tr2bl w:val="nil"/>
            </w:tcBorders>
            <w:vAlign w:val="center"/>
          </w:tcPr>
          <w:p w14:paraId="05741322">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完成上级下达任务</w:t>
            </w:r>
          </w:p>
        </w:tc>
        <w:tc>
          <w:tcPr>
            <w:tcW w:w="1109" w:type="dxa"/>
            <w:tcBorders>
              <w:tl2br w:val="nil"/>
              <w:tr2bl w:val="nil"/>
            </w:tcBorders>
            <w:vAlign w:val="center"/>
          </w:tcPr>
          <w:p w14:paraId="5D45919A">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约束性</w:t>
            </w:r>
          </w:p>
        </w:tc>
      </w:tr>
      <w:tr w14:paraId="678DC3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Height w:val="425" w:hRule="atLeast"/>
          <w:jc w:val="center"/>
        </w:trPr>
        <w:tc>
          <w:tcPr>
            <w:tcW w:w="836" w:type="dxa"/>
            <w:tcBorders>
              <w:tl2br w:val="nil"/>
              <w:tr2bl w:val="nil"/>
            </w:tcBorders>
            <w:vAlign w:val="center"/>
          </w:tcPr>
          <w:p w14:paraId="479DCF20">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17</w:t>
            </w:r>
          </w:p>
        </w:tc>
        <w:tc>
          <w:tcPr>
            <w:tcW w:w="4544" w:type="dxa"/>
            <w:tcBorders>
              <w:tl2br w:val="nil"/>
              <w:tr2bl w:val="nil"/>
            </w:tcBorders>
            <w:vAlign w:val="center"/>
          </w:tcPr>
          <w:p w14:paraId="60037A86">
            <w:pPr>
              <w:overflowPunct w:val="0"/>
              <w:adjustRightInd w:val="0"/>
              <w:snapToGrid w:val="0"/>
              <w:spacing w:after="0" w:line="240" w:lineRule="auto"/>
              <w:jc w:val="both"/>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地表水优良水体比例（%）</w:t>
            </w:r>
          </w:p>
        </w:tc>
        <w:tc>
          <w:tcPr>
            <w:tcW w:w="2093" w:type="dxa"/>
            <w:tcBorders>
              <w:tl2br w:val="nil"/>
              <w:tr2bl w:val="nil"/>
            </w:tcBorders>
            <w:vAlign w:val="center"/>
          </w:tcPr>
          <w:p w14:paraId="6A33C080">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完成上级下达任务</w:t>
            </w:r>
          </w:p>
        </w:tc>
        <w:tc>
          <w:tcPr>
            <w:tcW w:w="1109" w:type="dxa"/>
            <w:tcBorders>
              <w:tl2br w:val="nil"/>
              <w:tr2bl w:val="nil"/>
            </w:tcBorders>
            <w:vAlign w:val="center"/>
          </w:tcPr>
          <w:p w14:paraId="788DC626">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约束性</w:t>
            </w:r>
          </w:p>
        </w:tc>
      </w:tr>
      <w:tr w14:paraId="7EDF22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Height w:val="425" w:hRule="atLeast"/>
          <w:jc w:val="center"/>
        </w:trPr>
        <w:tc>
          <w:tcPr>
            <w:tcW w:w="836" w:type="dxa"/>
            <w:tcBorders>
              <w:tl2br w:val="nil"/>
              <w:tr2bl w:val="nil"/>
            </w:tcBorders>
            <w:vAlign w:val="center"/>
          </w:tcPr>
          <w:p w14:paraId="4DEE906B">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18</w:t>
            </w:r>
          </w:p>
        </w:tc>
        <w:tc>
          <w:tcPr>
            <w:tcW w:w="4544" w:type="dxa"/>
            <w:tcBorders>
              <w:tl2br w:val="nil"/>
              <w:tr2bl w:val="nil"/>
            </w:tcBorders>
            <w:vAlign w:val="center"/>
          </w:tcPr>
          <w:p w14:paraId="64AE86B8">
            <w:pPr>
              <w:overflowPunct w:val="0"/>
              <w:adjustRightInd w:val="0"/>
              <w:snapToGrid w:val="0"/>
              <w:spacing w:after="0" w:line="240" w:lineRule="auto"/>
              <w:jc w:val="both"/>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PM</w:t>
            </w:r>
            <w:r>
              <w:rPr>
                <w:rFonts w:hint="default" w:ascii="Times New Roman" w:hAnsi="Times New Roman" w:eastAsia="宋体" w:cs="Times New Roman"/>
                <w:kern w:val="44"/>
                <w:sz w:val="21"/>
                <w:szCs w:val="21"/>
                <w:vertAlign w:val="subscript"/>
              </w:rPr>
              <w:t>2.5</w:t>
            </w:r>
            <w:r>
              <w:rPr>
                <w:rFonts w:hint="default" w:ascii="Times New Roman" w:hAnsi="Times New Roman" w:eastAsia="宋体" w:cs="Times New Roman"/>
                <w:kern w:val="44"/>
                <w:sz w:val="21"/>
                <w:szCs w:val="21"/>
              </w:rPr>
              <w:t>年均浓度（微克/立方米）</w:t>
            </w:r>
          </w:p>
        </w:tc>
        <w:tc>
          <w:tcPr>
            <w:tcW w:w="2093" w:type="dxa"/>
            <w:tcBorders>
              <w:tl2br w:val="nil"/>
              <w:tr2bl w:val="nil"/>
            </w:tcBorders>
            <w:vAlign w:val="center"/>
          </w:tcPr>
          <w:p w14:paraId="6D02B74F">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完成上级下达任务</w:t>
            </w:r>
          </w:p>
        </w:tc>
        <w:tc>
          <w:tcPr>
            <w:tcW w:w="1109" w:type="dxa"/>
            <w:tcBorders>
              <w:tl2br w:val="nil"/>
              <w:tr2bl w:val="nil"/>
            </w:tcBorders>
            <w:vAlign w:val="center"/>
          </w:tcPr>
          <w:p w14:paraId="1B5F93EC">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约束性</w:t>
            </w:r>
          </w:p>
        </w:tc>
      </w:tr>
      <w:tr w14:paraId="78D07F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5" w:hRule="atLeast"/>
          <w:jc w:val="center"/>
        </w:trPr>
        <w:tc>
          <w:tcPr>
            <w:tcW w:w="836" w:type="dxa"/>
            <w:tcBorders>
              <w:tl2br w:val="nil"/>
              <w:tr2bl w:val="nil"/>
            </w:tcBorders>
            <w:vAlign w:val="center"/>
          </w:tcPr>
          <w:p w14:paraId="36508758">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19</w:t>
            </w:r>
          </w:p>
        </w:tc>
        <w:tc>
          <w:tcPr>
            <w:tcW w:w="4544" w:type="dxa"/>
            <w:tcBorders>
              <w:tl2br w:val="nil"/>
              <w:tr2bl w:val="nil"/>
            </w:tcBorders>
            <w:vAlign w:val="center"/>
          </w:tcPr>
          <w:p w14:paraId="09EA6DB0">
            <w:pPr>
              <w:overflowPunct w:val="0"/>
              <w:adjustRightInd w:val="0"/>
              <w:snapToGrid w:val="0"/>
              <w:spacing w:after="0" w:line="240" w:lineRule="auto"/>
              <w:jc w:val="both"/>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居民人均可支配收入年均增速（%）</w:t>
            </w:r>
          </w:p>
        </w:tc>
        <w:tc>
          <w:tcPr>
            <w:tcW w:w="2093" w:type="dxa"/>
            <w:tcBorders>
              <w:tl2br w:val="nil"/>
              <w:tr2bl w:val="nil"/>
            </w:tcBorders>
            <w:vAlign w:val="center"/>
          </w:tcPr>
          <w:p w14:paraId="6303898C">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与</w:t>
            </w:r>
            <w:r>
              <w:rPr>
                <w:rFonts w:hint="default" w:ascii="Times New Roman" w:hAnsi="Times New Roman" w:eastAsia="宋体" w:cs="Times New Roman"/>
                <w:kern w:val="44"/>
                <w:sz w:val="21"/>
                <w:szCs w:val="21"/>
                <w:lang w:val="en-US" w:eastAsia="zh-CN"/>
              </w:rPr>
              <w:t>GDP</w:t>
            </w:r>
            <w:r>
              <w:rPr>
                <w:rFonts w:hint="default" w:ascii="Times New Roman" w:hAnsi="Times New Roman" w:eastAsia="宋体" w:cs="Times New Roman"/>
                <w:kern w:val="44"/>
                <w:sz w:val="21"/>
                <w:szCs w:val="21"/>
              </w:rPr>
              <w:t>增长同步</w:t>
            </w:r>
          </w:p>
        </w:tc>
        <w:tc>
          <w:tcPr>
            <w:tcW w:w="1109" w:type="dxa"/>
            <w:tcBorders>
              <w:tl2br w:val="nil"/>
              <w:tr2bl w:val="nil"/>
            </w:tcBorders>
            <w:vAlign w:val="center"/>
          </w:tcPr>
          <w:p w14:paraId="4C8A7B2B">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预期性</w:t>
            </w:r>
          </w:p>
        </w:tc>
      </w:tr>
      <w:tr w14:paraId="442BAD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5" w:hRule="atLeast"/>
          <w:jc w:val="center"/>
        </w:trPr>
        <w:tc>
          <w:tcPr>
            <w:tcW w:w="836" w:type="dxa"/>
            <w:tcBorders>
              <w:tl2br w:val="nil"/>
              <w:tr2bl w:val="nil"/>
            </w:tcBorders>
            <w:vAlign w:val="center"/>
          </w:tcPr>
          <w:p w14:paraId="6C5FD64E">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20</w:t>
            </w:r>
          </w:p>
        </w:tc>
        <w:tc>
          <w:tcPr>
            <w:tcW w:w="4544" w:type="dxa"/>
            <w:tcBorders>
              <w:tl2br w:val="nil"/>
              <w:tr2bl w:val="nil"/>
            </w:tcBorders>
            <w:vAlign w:val="center"/>
          </w:tcPr>
          <w:p w14:paraId="017031D4">
            <w:pPr>
              <w:overflowPunct w:val="0"/>
              <w:adjustRightInd w:val="0"/>
              <w:snapToGrid w:val="0"/>
              <w:spacing w:after="0" w:line="240" w:lineRule="auto"/>
              <w:jc w:val="both"/>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城镇</w:t>
            </w:r>
            <w:r>
              <w:rPr>
                <w:rFonts w:hint="default" w:ascii="Times New Roman" w:hAnsi="Times New Roman" w:eastAsia="宋体" w:cs="Times New Roman"/>
                <w:kern w:val="44"/>
                <w:sz w:val="21"/>
                <w:szCs w:val="21"/>
                <w:lang w:val="en-US" w:eastAsia="zh-CN"/>
              </w:rPr>
              <w:t>新增</w:t>
            </w:r>
            <w:r>
              <w:rPr>
                <w:rFonts w:hint="default" w:ascii="Times New Roman" w:hAnsi="Times New Roman" w:eastAsia="宋体" w:cs="Times New Roman"/>
                <w:kern w:val="44"/>
                <w:sz w:val="21"/>
                <w:szCs w:val="21"/>
              </w:rPr>
              <w:t>就业人数（万人）</w:t>
            </w:r>
          </w:p>
        </w:tc>
        <w:tc>
          <w:tcPr>
            <w:tcW w:w="2093" w:type="dxa"/>
            <w:tcBorders>
              <w:tl2br w:val="nil"/>
              <w:tr2bl w:val="nil"/>
            </w:tcBorders>
            <w:vAlign w:val="center"/>
          </w:tcPr>
          <w:p w14:paraId="574EAE43">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45</w:t>
            </w:r>
          </w:p>
        </w:tc>
        <w:tc>
          <w:tcPr>
            <w:tcW w:w="1109" w:type="dxa"/>
            <w:tcBorders>
              <w:tl2br w:val="nil"/>
              <w:tr2bl w:val="nil"/>
            </w:tcBorders>
            <w:vAlign w:val="center"/>
          </w:tcPr>
          <w:p w14:paraId="502447B7">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预期性</w:t>
            </w:r>
          </w:p>
        </w:tc>
      </w:tr>
      <w:tr w14:paraId="61AF96F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5" w:hRule="atLeast"/>
          <w:jc w:val="center"/>
        </w:trPr>
        <w:tc>
          <w:tcPr>
            <w:tcW w:w="836" w:type="dxa"/>
            <w:tcBorders>
              <w:tl2br w:val="nil"/>
              <w:tr2bl w:val="nil"/>
            </w:tcBorders>
            <w:vAlign w:val="center"/>
          </w:tcPr>
          <w:p w14:paraId="1B81A181">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21</w:t>
            </w:r>
          </w:p>
        </w:tc>
        <w:tc>
          <w:tcPr>
            <w:tcW w:w="4544" w:type="dxa"/>
            <w:tcBorders>
              <w:tl2br w:val="nil"/>
              <w:tr2bl w:val="nil"/>
            </w:tcBorders>
            <w:vAlign w:val="center"/>
          </w:tcPr>
          <w:p w14:paraId="0782FF0E">
            <w:pPr>
              <w:overflowPunct w:val="0"/>
              <w:adjustRightInd w:val="0"/>
              <w:snapToGrid w:val="0"/>
              <w:spacing w:after="0" w:line="240" w:lineRule="auto"/>
              <w:jc w:val="both"/>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新增普通高中学位数（个）</w:t>
            </w:r>
          </w:p>
        </w:tc>
        <w:tc>
          <w:tcPr>
            <w:tcW w:w="2093" w:type="dxa"/>
            <w:tcBorders>
              <w:tl2br w:val="nil"/>
              <w:tr2bl w:val="nil"/>
            </w:tcBorders>
            <w:vAlign w:val="center"/>
          </w:tcPr>
          <w:p w14:paraId="0153A034">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超10000</w:t>
            </w:r>
          </w:p>
        </w:tc>
        <w:tc>
          <w:tcPr>
            <w:tcW w:w="1109" w:type="dxa"/>
            <w:tcBorders>
              <w:tl2br w:val="nil"/>
              <w:tr2bl w:val="nil"/>
            </w:tcBorders>
            <w:vAlign w:val="center"/>
          </w:tcPr>
          <w:p w14:paraId="08E2878A">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预期性</w:t>
            </w:r>
          </w:p>
        </w:tc>
      </w:tr>
      <w:tr w14:paraId="432043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5" w:hRule="atLeast"/>
          <w:jc w:val="center"/>
        </w:trPr>
        <w:tc>
          <w:tcPr>
            <w:tcW w:w="836" w:type="dxa"/>
            <w:tcBorders>
              <w:tl2br w:val="nil"/>
              <w:tr2bl w:val="nil"/>
            </w:tcBorders>
            <w:vAlign w:val="center"/>
          </w:tcPr>
          <w:p w14:paraId="507E7CEC">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22</w:t>
            </w:r>
          </w:p>
        </w:tc>
        <w:tc>
          <w:tcPr>
            <w:tcW w:w="4544" w:type="dxa"/>
            <w:tcBorders>
              <w:tl2br w:val="nil"/>
              <w:tr2bl w:val="nil"/>
            </w:tcBorders>
            <w:vAlign w:val="center"/>
          </w:tcPr>
          <w:p w14:paraId="62ED2602">
            <w:pPr>
              <w:overflowPunct w:val="0"/>
              <w:adjustRightInd w:val="0"/>
              <w:snapToGrid w:val="0"/>
              <w:spacing w:after="0" w:line="240" w:lineRule="auto"/>
              <w:jc w:val="both"/>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重大慢病过早死亡率（%）</w:t>
            </w:r>
          </w:p>
        </w:tc>
        <w:tc>
          <w:tcPr>
            <w:tcW w:w="2093" w:type="dxa"/>
            <w:tcBorders>
              <w:tl2br w:val="nil"/>
              <w:tr2bl w:val="nil"/>
            </w:tcBorders>
            <w:vAlign w:val="center"/>
          </w:tcPr>
          <w:p w14:paraId="39C561AA">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&lt;6.0</w:t>
            </w:r>
          </w:p>
        </w:tc>
        <w:tc>
          <w:tcPr>
            <w:tcW w:w="1109" w:type="dxa"/>
            <w:tcBorders>
              <w:tl2br w:val="nil"/>
              <w:tr2bl w:val="nil"/>
            </w:tcBorders>
            <w:vAlign w:val="center"/>
          </w:tcPr>
          <w:p w14:paraId="0DA0C3F2">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预期性</w:t>
            </w:r>
          </w:p>
        </w:tc>
      </w:tr>
      <w:tr w14:paraId="28B170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5" w:hRule="atLeast"/>
          <w:jc w:val="center"/>
        </w:trPr>
        <w:tc>
          <w:tcPr>
            <w:tcW w:w="836" w:type="dxa"/>
            <w:tcBorders>
              <w:tl2br w:val="nil"/>
              <w:tr2bl w:val="nil"/>
            </w:tcBorders>
            <w:vAlign w:val="center"/>
          </w:tcPr>
          <w:p w14:paraId="6C113229">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23</w:t>
            </w:r>
          </w:p>
        </w:tc>
        <w:tc>
          <w:tcPr>
            <w:tcW w:w="4544" w:type="dxa"/>
            <w:tcBorders>
              <w:tl2br w:val="nil"/>
              <w:tr2bl w:val="nil"/>
            </w:tcBorders>
            <w:vAlign w:val="center"/>
          </w:tcPr>
          <w:p w14:paraId="6E9DF0E7">
            <w:pPr>
              <w:overflowPunct w:val="0"/>
              <w:adjustRightInd w:val="0"/>
              <w:snapToGrid w:val="0"/>
              <w:spacing w:after="0" w:line="240" w:lineRule="auto"/>
              <w:jc w:val="both"/>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每千人</w:t>
            </w:r>
            <w:r>
              <w:rPr>
                <w:rFonts w:hint="default" w:ascii="Times New Roman" w:hAnsi="Times New Roman" w:eastAsia="宋体" w:cs="Times New Roman"/>
                <w:kern w:val="44"/>
                <w:sz w:val="21"/>
                <w:szCs w:val="21"/>
                <w:lang w:val="en-US" w:eastAsia="zh-CN"/>
              </w:rPr>
              <w:t>口</w:t>
            </w:r>
            <w:r>
              <w:rPr>
                <w:rFonts w:hint="default" w:ascii="Times New Roman" w:hAnsi="Times New Roman" w:eastAsia="宋体" w:cs="Times New Roman"/>
                <w:kern w:val="44"/>
                <w:sz w:val="21"/>
                <w:szCs w:val="21"/>
              </w:rPr>
              <w:t>执业（助理）医师数（人）</w:t>
            </w:r>
          </w:p>
        </w:tc>
        <w:tc>
          <w:tcPr>
            <w:tcW w:w="2093" w:type="dxa"/>
            <w:tcBorders>
              <w:tl2br w:val="nil"/>
              <w:tr2bl w:val="nil"/>
            </w:tcBorders>
            <w:vAlign w:val="center"/>
          </w:tcPr>
          <w:p w14:paraId="6DAB59AB">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3.1</w:t>
            </w:r>
          </w:p>
        </w:tc>
        <w:tc>
          <w:tcPr>
            <w:tcW w:w="1109" w:type="dxa"/>
            <w:tcBorders>
              <w:tl2br w:val="nil"/>
              <w:tr2bl w:val="nil"/>
            </w:tcBorders>
            <w:vAlign w:val="center"/>
          </w:tcPr>
          <w:p w14:paraId="6945A60D">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预期性</w:t>
            </w:r>
          </w:p>
        </w:tc>
      </w:tr>
      <w:tr w14:paraId="1E7BBD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5" w:hRule="atLeast"/>
          <w:jc w:val="center"/>
        </w:trPr>
        <w:tc>
          <w:tcPr>
            <w:tcW w:w="836" w:type="dxa"/>
            <w:tcBorders>
              <w:tl2br w:val="nil"/>
              <w:tr2bl w:val="nil"/>
            </w:tcBorders>
            <w:vAlign w:val="center"/>
          </w:tcPr>
          <w:p w14:paraId="64904ED6">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24</w:t>
            </w:r>
          </w:p>
        </w:tc>
        <w:tc>
          <w:tcPr>
            <w:tcW w:w="4544" w:type="dxa"/>
            <w:tcBorders>
              <w:tl2br w:val="nil"/>
              <w:tr2bl w:val="nil"/>
            </w:tcBorders>
            <w:vAlign w:val="center"/>
          </w:tcPr>
          <w:p w14:paraId="675D3993">
            <w:pPr>
              <w:overflowPunct w:val="0"/>
              <w:adjustRightInd w:val="0"/>
              <w:snapToGrid w:val="0"/>
              <w:spacing w:after="0" w:line="240" w:lineRule="auto"/>
              <w:jc w:val="both"/>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人均公共文体设施面积（平方米）</w:t>
            </w:r>
          </w:p>
        </w:tc>
        <w:tc>
          <w:tcPr>
            <w:tcW w:w="2093" w:type="dxa"/>
            <w:tcBorders>
              <w:tl2br w:val="nil"/>
              <w:tr2bl w:val="nil"/>
            </w:tcBorders>
            <w:vAlign w:val="center"/>
          </w:tcPr>
          <w:p w14:paraId="77F78C79">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5.46</w:t>
            </w:r>
          </w:p>
        </w:tc>
        <w:tc>
          <w:tcPr>
            <w:tcW w:w="1109" w:type="dxa"/>
            <w:tcBorders>
              <w:tl2br w:val="nil"/>
              <w:tr2bl w:val="nil"/>
            </w:tcBorders>
            <w:vAlign w:val="center"/>
          </w:tcPr>
          <w:p w14:paraId="770A7533">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预期性</w:t>
            </w:r>
          </w:p>
        </w:tc>
      </w:tr>
      <w:tr w14:paraId="3C22C05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5" w:hRule="atLeast"/>
          <w:jc w:val="center"/>
        </w:trPr>
        <w:tc>
          <w:tcPr>
            <w:tcW w:w="836" w:type="dxa"/>
            <w:tcBorders>
              <w:tl2br w:val="nil"/>
              <w:tr2bl w:val="nil"/>
            </w:tcBorders>
            <w:vAlign w:val="center"/>
          </w:tcPr>
          <w:p w14:paraId="569DED0D">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25</w:t>
            </w:r>
          </w:p>
        </w:tc>
        <w:tc>
          <w:tcPr>
            <w:tcW w:w="4544" w:type="dxa"/>
            <w:tcBorders>
              <w:tl2br w:val="nil"/>
              <w:tr2bl w:val="nil"/>
            </w:tcBorders>
            <w:vAlign w:val="center"/>
          </w:tcPr>
          <w:p w14:paraId="49EBBED1">
            <w:pPr>
              <w:overflowPunct w:val="0"/>
              <w:adjustRightInd w:val="0"/>
              <w:snapToGrid w:val="0"/>
              <w:spacing w:after="0" w:line="240" w:lineRule="auto"/>
              <w:jc w:val="both"/>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单位地区生产总值生产安全事故死亡率（人/亿元）</w:t>
            </w:r>
          </w:p>
        </w:tc>
        <w:tc>
          <w:tcPr>
            <w:tcW w:w="2093" w:type="dxa"/>
            <w:tcBorders>
              <w:tl2br w:val="nil"/>
              <w:tr2bl w:val="nil"/>
            </w:tcBorders>
            <w:vAlign w:val="center"/>
          </w:tcPr>
          <w:p w14:paraId="2B766820">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≤0.0018</w:t>
            </w:r>
          </w:p>
        </w:tc>
        <w:tc>
          <w:tcPr>
            <w:tcW w:w="1109" w:type="dxa"/>
            <w:tcBorders>
              <w:tl2br w:val="nil"/>
              <w:tr2bl w:val="nil"/>
            </w:tcBorders>
            <w:vAlign w:val="center"/>
          </w:tcPr>
          <w:p w14:paraId="35601C98">
            <w:pPr>
              <w:overflowPunct w:val="0"/>
              <w:adjustRightInd w:val="0"/>
              <w:snapToGrid w:val="0"/>
              <w:spacing w:after="0" w:line="240" w:lineRule="auto"/>
              <w:jc w:val="center"/>
              <w:rPr>
                <w:rFonts w:hint="default" w:ascii="Times New Roman" w:hAnsi="Times New Roman" w:eastAsia="宋体" w:cs="Times New Roman"/>
                <w:kern w:val="44"/>
                <w:sz w:val="21"/>
                <w:szCs w:val="21"/>
              </w:rPr>
            </w:pPr>
            <w:r>
              <w:rPr>
                <w:rFonts w:hint="default" w:ascii="Times New Roman" w:hAnsi="Times New Roman" w:eastAsia="宋体" w:cs="Times New Roman"/>
                <w:kern w:val="44"/>
                <w:sz w:val="21"/>
                <w:szCs w:val="21"/>
              </w:rPr>
              <w:t>约束性</w:t>
            </w:r>
          </w:p>
        </w:tc>
      </w:t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226"/>
      <w:bookmarkEnd w:id="227"/>
      <w:bookmarkEnd w:id="228"/>
      <w:bookmarkEnd w:id="229"/>
      <w:bookmarkEnd w:id="230"/>
      <w:bookmarkEnd w:id="231"/>
      <w:bookmarkEnd w:id="232"/>
      <w:bookmarkEnd w:id="233"/>
      <w:bookmarkEnd w:id="234"/>
      <w:bookmarkEnd w:id="235"/>
      <w:bookmarkEnd w:id="236"/>
    </w:tbl>
    <w:p w14:paraId="7E58CB08">
      <w:pPr>
        <w:widowControl/>
        <w:overflowPunct w:val="0"/>
        <w:spacing w:after="0" w:line="240" w:lineRule="auto"/>
        <w:rPr>
          <w:rFonts w:hint="default" w:ascii="Times New Roman" w:hAnsi="Times New Roman" w:eastAsia="仿宋_GB2312" w:cs="Times New Roman"/>
          <w:sz w:val="32"/>
          <w:szCs w:val="32"/>
        </w:rPr>
      </w:pPr>
      <w:bookmarkStart w:id="237" w:name="_Toc10527"/>
      <w:bookmarkStart w:id="238" w:name="_Toc25163"/>
      <w:bookmarkStart w:id="239" w:name="_Toc32478"/>
      <w:bookmarkStart w:id="240" w:name="_Toc27531"/>
      <w:bookmarkStart w:id="241" w:name="_Toc3096"/>
      <w:bookmarkStart w:id="242" w:name="_Toc29031"/>
      <w:bookmarkStart w:id="243" w:name="_Toc218010910"/>
      <w:bookmarkStart w:id="244" w:name="_Toc5570"/>
      <w:r>
        <w:rPr>
          <w:rFonts w:hint="default" w:ascii="Times New Roman" w:hAnsi="Times New Roman" w:eastAsia="仿宋_GB2312" w:cs="Times New Roman"/>
          <w:sz w:val="32"/>
          <w:szCs w:val="32"/>
        </w:rPr>
        <w:br w:type="page"/>
      </w:r>
    </w:p>
    <w:p w14:paraId="391CBF64">
      <w:pPr>
        <w:pStyle w:val="2"/>
        <w:widowControl/>
        <w:overflowPunct w:val="0"/>
        <w:autoSpaceDE w:val="0"/>
        <w:adjustRightInd w:val="0"/>
        <w:spacing w:before="156" w:beforeLines="50" w:after="156" w:afterLines="50" w:line="600" w:lineRule="exact"/>
        <w:jc w:val="center"/>
        <w:rPr>
          <w:rFonts w:hint="default" w:ascii="Times New Roman" w:hAnsi="Times New Roman" w:eastAsia="方正大标宋简体" w:cs="Times New Roman"/>
          <w:b w:val="0"/>
          <w:bCs w:val="0"/>
          <w:szCs w:val="36"/>
        </w:rPr>
      </w:pPr>
      <w:bookmarkStart w:id="245" w:name="_Toc1354"/>
      <w:bookmarkStart w:id="246" w:name="_Toc20481"/>
      <w:bookmarkStart w:id="247" w:name="_Toc19267"/>
      <w:r>
        <w:rPr>
          <w:rFonts w:hint="default" w:ascii="Times New Roman" w:hAnsi="Times New Roman" w:eastAsia="方正大标宋简体" w:cs="Times New Roman"/>
          <w:b w:val="0"/>
          <w:bCs w:val="0"/>
          <w:szCs w:val="36"/>
        </w:rPr>
        <w:t>第二篇 打造创新引领的“智造之城”</w:t>
      </w:r>
      <w:bookmarkEnd w:id="237"/>
      <w:bookmarkEnd w:id="238"/>
      <w:bookmarkEnd w:id="239"/>
      <w:bookmarkEnd w:id="240"/>
      <w:bookmarkEnd w:id="241"/>
      <w:bookmarkEnd w:id="242"/>
      <w:bookmarkEnd w:id="243"/>
      <w:bookmarkEnd w:id="244"/>
      <w:bookmarkEnd w:id="245"/>
      <w:bookmarkEnd w:id="246"/>
      <w:bookmarkEnd w:id="247"/>
    </w:p>
    <w:p w14:paraId="63041DD6">
      <w:pPr>
        <w:overflowPunct w:val="0"/>
        <w:adjustRightInd w:val="0"/>
        <w:spacing w:before="156" w:beforeLines="50" w:after="156" w:afterLines="50" w:line="600" w:lineRule="exact"/>
        <w:jc w:val="center"/>
        <w:outlineLvl w:val="1"/>
        <w:rPr>
          <w:rFonts w:hint="default" w:ascii="Times New Roman" w:hAnsi="Times New Roman" w:eastAsia="黑体" w:cs="Times New Roman"/>
          <w:sz w:val="32"/>
          <w:szCs w:val="32"/>
        </w:rPr>
      </w:pPr>
      <w:bookmarkStart w:id="248" w:name="_Toc28866"/>
      <w:bookmarkStart w:id="249" w:name="_Toc17959"/>
      <w:bookmarkStart w:id="250" w:name="_Toc28129"/>
      <w:bookmarkStart w:id="251" w:name="_Toc6410"/>
      <w:bookmarkStart w:id="252" w:name="_Toc31756"/>
      <w:bookmarkStart w:id="253" w:name="_Toc8194"/>
      <w:bookmarkStart w:id="254" w:name="_Toc2523"/>
      <w:bookmarkStart w:id="255" w:name="_Toc12339"/>
      <w:bookmarkStart w:id="256" w:name="_Toc13351"/>
      <w:bookmarkStart w:id="257" w:name="_Toc24640"/>
      <w:bookmarkStart w:id="258" w:name="_Toc19347"/>
      <w:bookmarkStart w:id="259" w:name="_Toc218010911"/>
      <w:bookmarkStart w:id="260" w:name="_Toc6193"/>
      <w:bookmarkStart w:id="261" w:name="_Toc3493"/>
      <w:bookmarkStart w:id="262" w:name="_Toc5766"/>
      <w:bookmarkStart w:id="263" w:name="_Toc11411"/>
      <w:bookmarkStart w:id="264" w:name="_Toc4952"/>
      <w:bookmarkStart w:id="265" w:name="_Toc17929"/>
      <w:bookmarkStart w:id="266" w:name="_Toc14459"/>
      <w:bookmarkStart w:id="267" w:name="_Toc27538"/>
      <w:bookmarkStart w:id="268" w:name="_Toc703"/>
      <w:r>
        <w:rPr>
          <w:rFonts w:hint="default" w:ascii="Times New Roman" w:hAnsi="Times New Roman" w:eastAsia="黑体" w:cs="Times New Roman"/>
          <w:sz w:val="32"/>
          <w:szCs w:val="32"/>
        </w:rPr>
        <w:t>第三章 构筑“一超多强”现代化产业体系</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14:paraId="28C50FD6">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坚守实体经济，深入推进新型工业化，强化人工智能赋能和“两业融合”，围绕构建“</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2345”现代</w:t>
      </w:r>
      <w:r>
        <w:rPr>
          <w:rFonts w:hint="default" w:ascii="Times New Roman" w:hAnsi="Times New Roman" w:eastAsia="仿宋_GB2312" w:cs="Times New Roman"/>
          <w:sz w:val="32"/>
          <w:szCs w:val="32"/>
          <w:lang w:val="en-US" w:eastAsia="zh-CN"/>
        </w:rPr>
        <w:t>化</w:t>
      </w:r>
      <w:r>
        <w:rPr>
          <w:rFonts w:hint="default" w:ascii="Times New Roman" w:hAnsi="Times New Roman" w:eastAsia="仿宋_GB2312" w:cs="Times New Roman"/>
          <w:sz w:val="32"/>
          <w:szCs w:val="32"/>
        </w:rPr>
        <w:t>产业体系，打造以新一代信息技术为牵引，高端装备、智能网联汽车、具身智能、低空飞行器为支撑的“一超多强”产业结构。完善</w:t>
      </w:r>
      <w:r>
        <w:rPr>
          <w:rFonts w:hint="default" w:ascii="Times New Roman" w:hAnsi="Times New Roman" w:eastAsia="仿宋_GB2312" w:cs="Times New Roman"/>
          <w:sz w:val="32"/>
          <w:szCs w:val="32"/>
          <w:lang w:val="en-US" w:eastAsia="zh-CN"/>
        </w:rPr>
        <w:t>现代</w:t>
      </w:r>
      <w:r>
        <w:rPr>
          <w:rFonts w:hint="default" w:ascii="Times New Roman" w:hAnsi="Times New Roman" w:eastAsia="仿宋_GB2312" w:cs="Times New Roman"/>
          <w:sz w:val="32"/>
          <w:szCs w:val="32"/>
        </w:rPr>
        <w:t>服务业体系，聚焦服务型制造提质发展现代服务业，推动产业结构更加优化、动能更加均衡。</w:t>
      </w:r>
    </w:p>
    <w:p w14:paraId="768B9A08">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269" w:name="_Toc218010912"/>
      <w:bookmarkStart w:id="270" w:name="_Toc13736"/>
      <w:bookmarkStart w:id="271" w:name="_Toc19075"/>
      <w:bookmarkStart w:id="272" w:name="_Toc9486"/>
      <w:bookmarkStart w:id="273" w:name="_Toc32699"/>
      <w:bookmarkStart w:id="274" w:name="_Toc29633"/>
      <w:bookmarkStart w:id="275" w:name="_Toc27501"/>
      <w:bookmarkStart w:id="276" w:name="_Toc18793"/>
      <w:bookmarkStart w:id="277" w:name="_Toc13913"/>
      <w:bookmarkStart w:id="278" w:name="_Toc26690"/>
      <w:bookmarkStart w:id="279" w:name="_Toc31193"/>
      <w:bookmarkStart w:id="280" w:name="_Toc21012"/>
      <w:bookmarkStart w:id="281" w:name="_Toc9337"/>
      <w:bookmarkStart w:id="282" w:name="_Toc31169"/>
      <w:bookmarkStart w:id="283" w:name="_Toc30689"/>
      <w:bookmarkStart w:id="284" w:name="_Toc28795"/>
      <w:bookmarkStart w:id="285" w:name="_Toc16767"/>
      <w:bookmarkStart w:id="286" w:name="_Toc20266"/>
      <w:bookmarkStart w:id="287" w:name="_Toc31125"/>
      <w:bookmarkStart w:id="288" w:name="_Toc13177"/>
      <w:bookmarkStart w:id="289" w:name="_Toc22208"/>
      <w:r>
        <w:rPr>
          <w:rFonts w:hint="default" w:ascii="Times New Roman" w:hAnsi="Times New Roman" w:eastAsia="楷体" w:cs="Times New Roman"/>
          <w:sz w:val="32"/>
          <w:szCs w:val="32"/>
        </w:rPr>
        <w:t>第一节 固本升级新一代信息技术“超级”产业集群</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0774B20B">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巩固消费电子基础优势，加快向新一代智能终端延伸升级，补齐智能芯片短板，做强新型显示产业，构筑覆盖智能芯片、智能元器件、电子新材料、智能终端、算力算法等全产业链、规模超万亿的新一代信息技术产业集群。</w:t>
      </w:r>
    </w:p>
    <w:p w14:paraId="67D59A81">
      <w:pPr>
        <w:keepNext w:val="0"/>
        <w:keepLines w:val="0"/>
        <w:pageBreakBefore w:val="0"/>
        <w:widowControl w:val="0"/>
        <w:kinsoku/>
        <w:wordWrap/>
        <w:overflowPunct w:val="0"/>
        <w:topLinePunct w:val="0"/>
        <w:autoSpaceDE/>
        <w:autoSpaceDN/>
        <w:bidi w:val="0"/>
        <w:adjustRightInd w:val="0"/>
        <w:snapToGrid/>
        <w:spacing w:after="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推动消费电子向AI终端升级。</w:t>
      </w:r>
      <w:r>
        <w:rPr>
          <w:rFonts w:hint="default" w:ascii="Times New Roman" w:hAnsi="Times New Roman" w:eastAsia="仿宋_GB2312" w:cs="Times New Roman"/>
          <w:sz w:val="32"/>
          <w:szCs w:val="32"/>
        </w:rPr>
        <w:t>推进人工智能深度应用和全面赋能，积极发展AI+手机、AI+PC、AI+可穿戴等AI终端产品，推动产品从手机、笔电等传统终端向AI驱动的“泛终端”矩阵拓展。做大AI服务器产业集群，依托南淞湖人工智能产业园及重点整机企业，加快补齐智能芯片、高速互联、散热模组、固态硬盘、网络存储等AI服务器产业短板，重点发展通用服务器、云服务器、机架服务器、边缘服务器、训推一体机等基于自主可控芯片的AI服务器。创新发展多芯多卡异构高互联高算力服务器等关键产品和技术，提前布局下一代10E级智能超算系统。支持企业融入国内头部终端厂商供应链，鼓励外资企业优化订单布局，将高附加值中间产品放在昆山生产，稳定手机、笔电产能。</w:t>
      </w:r>
    </w:p>
    <w:p w14:paraId="1FD6FB51">
      <w:pPr>
        <w:keepNext w:val="0"/>
        <w:keepLines w:val="0"/>
        <w:pageBreakBefore w:val="0"/>
        <w:widowControl w:val="0"/>
        <w:kinsoku/>
        <w:wordWrap/>
        <w:overflowPunct w:val="0"/>
        <w:topLinePunct w:val="0"/>
        <w:autoSpaceDE/>
        <w:autoSpaceDN/>
        <w:bidi w:val="0"/>
        <w:adjustRightInd w:val="0"/>
        <w:snapToGrid/>
        <w:spacing w:after="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加快智能芯片补链强链。</w:t>
      </w:r>
      <w:r>
        <w:rPr>
          <w:rFonts w:hint="default" w:ascii="Times New Roman" w:hAnsi="Times New Roman" w:eastAsia="仿宋_GB2312" w:cs="Times New Roman"/>
          <w:sz w:val="32"/>
          <w:szCs w:val="32"/>
        </w:rPr>
        <w:t>重点发展内存接口芯片、平板显示驱动芯片、数字信号处理、MEMS传感器、新型化合物半导体等特色应用芯片。依托海光产业生态合作平台，加速海光新一代CPU和通用AI芯片DCU研发。补齐半导体制造环节短板，适时引进8英寸/12英寸芯片制造企业，布局物联网芯片、CMOS图像传感器、5G芯片、车规级芯片等成熟制程芯片制造。引导现有封装企业提升发展芯片级封装、多芯片模块等先进封装技术，实现智能芯片全链条国产化。支持半导体设备制造企业深耕设备与材料细分市场，发展清洗、电镀、蒸镀、蚀刻等湿制程设备，电子级高纯试剂、光刻胶、溅射靶材等湿制程材料。</w:t>
      </w:r>
    </w:p>
    <w:p w14:paraId="161FD94B">
      <w:pPr>
        <w:overflowPunct w:val="0"/>
        <w:adjustRightInd w:val="0"/>
        <w:spacing w:after="156" w:afterLines="50" w:line="600" w:lineRule="exact"/>
        <w:ind w:firstLine="640" w:firstLineChars="200"/>
        <w:jc w:val="both"/>
        <w:rPr>
          <w:rFonts w:hint="default" w:ascii="Times New Roman" w:hAnsi="Times New Roman" w:eastAsia="仿宋_GB2312" w:cs="Times New Roman"/>
          <w:sz w:val="32"/>
          <w:szCs w:val="32"/>
        </w:rPr>
      </w:pPr>
      <w:bookmarkStart w:id="290" w:name="_Toc21661"/>
      <w:bookmarkStart w:id="291" w:name="_Toc105"/>
      <w:bookmarkStart w:id="292" w:name="_Toc25522"/>
      <w:bookmarkStart w:id="293" w:name="_Toc9886"/>
      <w:bookmarkStart w:id="294" w:name="_Toc12506"/>
      <w:bookmarkStart w:id="295" w:name="_Toc30546"/>
      <w:bookmarkStart w:id="296" w:name="_Toc16835"/>
      <w:bookmarkStart w:id="297" w:name="_Toc2058"/>
      <w:bookmarkStart w:id="298" w:name="_Toc25484"/>
      <w:bookmarkStart w:id="299" w:name="_Toc7343"/>
      <w:bookmarkStart w:id="300" w:name="_Toc6466"/>
      <w:bookmarkStart w:id="301" w:name="_Toc9053"/>
      <w:bookmarkStart w:id="302" w:name="_Toc7848"/>
      <w:bookmarkStart w:id="303" w:name="_Toc11577"/>
      <w:bookmarkStart w:id="304" w:name="_Toc15899"/>
      <w:bookmarkStart w:id="305" w:name="_Toc5446"/>
      <w:r>
        <w:rPr>
          <w:rFonts w:hint="default" w:ascii="Times New Roman" w:hAnsi="Times New Roman" w:eastAsia="楷体" w:cs="Times New Roman"/>
          <w:sz w:val="32"/>
          <w:szCs w:val="32"/>
        </w:rPr>
        <w:t>做强新型显示产业。</w:t>
      </w:r>
      <w:r>
        <w:rPr>
          <w:rFonts w:hint="default" w:ascii="Times New Roman" w:hAnsi="Times New Roman" w:eastAsia="仿宋_GB2312" w:cs="Times New Roman"/>
          <w:sz w:val="32"/>
          <w:szCs w:val="32"/>
        </w:rPr>
        <w:t>密切关注</w:t>
      </w:r>
      <w:r>
        <w:rPr>
          <w:rFonts w:hint="default" w:ascii="Times New Roman" w:hAnsi="Times New Roman" w:eastAsia="仿宋_GB2312" w:cs="Times New Roman"/>
          <w:sz w:val="32"/>
          <w:szCs w:val="32"/>
          <w:lang w:val="en-US" w:eastAsia="zh-CN"/>
        </w:rPr>
        <w:t>M</w:t>
      </w:r>
      <w:r>
        <w:rPr>
          <w:rFonts w:hint="default" w:ascii="Times New Roman" w:hAnsi="Times New Roman" w:eastAsia="仿宋_GB2312" w:cs="Times New Roman"/>
          <w:sz w:val="32"/>
          <w:szCs w:val="32"/>
        </w:rPr>
        <w:t>icro</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OLED、硅基LED、柔性LED、全息显示等下一代技术，加快Micro LED量产线、新型显示全球研发中心等项目建设，支持企业加强未来显示领域技术攻关。</w:t>
      </w:r>
      <w:r>
        <w:rPr>
          <w:rStyle w:val="28"/>
          <w:rFonts w:hint="default" w:ascii="Times New Roman" w:hAnsi="Times New Roman" w:cs="Times New Roman"/>
          <w:b w:val="0"/>
          <w:bCs w:val="0"/>
        </w:rPr>
        <w:t>做精做专现有显示品牌，</w:t>
      </w:r>
      <w:r>
        <w:rPr>
          <w:rFonts w:hint="default" w:ascii="Times New Roman" w:hAnsi="Times New Roman" w:eastAsia="仿宋_GB2312" w:cs="Times New Roman"/>
          <w:sz w:val="32"/>
          <w:szCs w:val="32"/>
        </w:rPr>
        <w:t>深化与国际知名品牌合作，</w:t>
      </w:r>
      <w:r>
        <w:rPr>
          <w:rStyle w:val="28"/>
          <w:rFonts w:hint="default" w:ascii="Times New Roman" w:hAnsi="Times New Roman" w:cs="Times New Roman"/>
          <w:b w:val="0"/>
          <w:bCs w:val="0"/>
        </w:rPr>
        <w:t>加快Mini LED、全景显示屏、智能分屏、柔性显示和全息显示等新技术开发，形成有技术特色的拳头产品。</w:t>
      </w:r>
      <w:r>
        <w:rPr>
          <w:rFonts w:hint="default" w:ascii="Times New Roman" w:hAnsi="Times New Roman" w:eastAsia="仿宋_GB2312" w:cs="Times New Roman"/>
          <w:sz w:val="32"/>
          <w:szCs w:val="32"/>
        </w:rPr>
        <w:t>围绕显示领域关键材料和核心装备，鼓励新型显示企业与装备制造企业协同发展，开展国产化验证与替代应用。加快</w:t>
      </w:r>
      <w:r>
        <w:rPr>
          <w:rStyle w:val="28"/>
          <w:rFonts w:hint="default" w:ascii="Times New Roman" w:hAnsi="Times New Roman" w:cs="Times New Roman"/>
          <w:b w:val="0"/>
          <w:bCs w:val="0"/>
        </w:rPr>
        <w:t>引进新型显示材料、靶材、驱动芯片、检测设备等上下游</w:t>
      </w:r>
      <w:r>
        <w:rPr>
          <w:rFonts w:hint="default" w:ascii="Times New Roman" w:hAnsi="Times New Roman" w:eastAsia="仿宋_GB2312" w:cs="Times New Roman"/>
          <w:sz w:val="32"/>
          <w:szCs w:val="32"/>
        </w:rPr>
        <w:t>关键</w:t>
      </w:r>
      <w:r>
        <w:rPr>
          <w:rStyle w:val="28"/>
          <w:rFonts w:hint="default" w:ascii="Times New Roman" w:hAnsi="Times New Roman" w:cs="Times New Roman"/>
          <w:b w:val="0"/>
          <w:bCs w:val="0"/>
        </w:rPr>
        <w:t>环节，</w:t>
      </w:r>
      <w:r>
        <w:rPr>
          <w:rFonts w:hint="default" w:ascii="Times New Roman" w:hAnsi="Times New Roman" w:eastAsia="仿宋_GB2312" w:cs="Times New Roman"/>
          <w:sz w:val="32"/>
          <w:szCs w:val="32"/>
        </w:rPr>
        <w:t>形成覆盖“设备</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原材料</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面板</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模组</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整机”的完整、高效、自主可控的产业链体系。</w:t>
      </w:r>
    </w:p>
    <w:tbl>
      <w:tblPr>
        <w:tblStyle w:val="19"/>
        <w:tblW w:w="8522"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522"/>
      </w:tblGrid>
      <w:tr w14:paraId="46A3AAD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562" w:hRule="atLeast"/>
          <w:jc w:val="center"/>
        </w:trPr>
        <w:tc>
          <w:tcPr>
            <w:tcW w:w="8522" w:type="dxa"/>
            <w:tcBorders>
              <w:tl2br w:val="nil"/>
              <w:tr2bl w:val="nil"/>
            </w:tcBorders>
          </w:tcPr>
          <w:p w14:paraId="0467C833">
            <w:pPr>
              <w:numPr>
                <w:ilvl w:val="255"/>
                <w:numId w:val="0"/>
              </w:numPr>
              <w:overflowPunct w:val="0"/>
              <w:autoSpaceDE w:val="0"/>
              <w:autoSpaceDN w:val="0"/>
              <w:adjustRightInd w:val="0"/>
              <w:snapToGrid w:val="0"/>
              <w:spacing w:after="156" w:afterLines="50" w:line="600" w:lineRule="exact"/>
              <w:jc w:val="center"/>
              <w:textAlignment w:val="baseline"/>
              <w:rPr>
                <w:rFonts w:hint="default" w:ascii="Times New Roman" w:hAnsi="Times New Roman" w:eastAsia="黑体" w:cs="Times New Roman"/>
                <w:spacing w:val="-1"/>
                <w:sz w:val="28"/>
                <w:szCs w:val="28"/>
              </w:rPr>
            </w:pPr>
            <w:r>
              <w:rPr>
                <w:rFonts w:hint="default" w:ascii="Times New Roman" w:hAnsi="Times New Roman" w:eastAsia="黑体" w:cs="Times New Roman"/>
                <w:spacing w:val="-1"/>
                <w:sz w:val="28"/>
                <w:szCs w:val="28"/>
              </w:rPr>
              <w:t xml:space="preserve">专栏 </w:t>
            </w:r>
            <w:r>
              <w:rPr>
                <w:rFonts w:hint="default" w:ascii="Times New Roman" w:hAnsi="Times New Roman" w:eastAsia="黑体" w:cs="Times New Roman"/>
                <w:spacing w:val="-1"/>
                <w:sz w:val="28"/>
                <w:szCs w:val="28"/>
                <w:lang w:val="en-US" w:eastAsia="zh-CN"/>
              </w:rPr>
              <w:t>1</w:t>
            </w:r>
            <w:r>
              <w:rPr>
                <w:rFonts w:hint="default" w:ascii="Times New Roman" w:hAnsi="Times New Roman" w:eastAsia="黑体" w:cs="Times New Roman"/>
                <w:spacing w:val="-1"/>
                <w:sz w:val="28"/>
                <w:szCs w:val="28"/>
              </w:rPr>
              <w:t>：新一代信息技术“超级”产业集群支撑项目</w:t>
            </w:r>
          </w:p>
          <w:p w14:paraId="6C0F4E4D">
            <w:pPr>
              <w:overflowPunct w:val="0"/>
              <w:spacing w:after="0" w:line="320" w:lineRule="exact"/>
              <w:ind w:firstLine="480" w:firstLineChars="200"/>
              <w:jc w:val="both"/>
              <w:rPr>
                <w:rFonts w:hint="default" w:ascii="Times New Roman" w:hAnsi="Times New Roman" w:eastAsia="宋体" w:cs="Times New Roman"/>
                <w:sz w:val="24"/>
              </w:rPr>
            </w:pPr>
            <w:r>
              <w:rPr>
                <w:rFonts w:hint="default" w:ascii="Times New Roman" w:hAnsi="Times New Roman" w:eastAsia="楷体_GB2312" w:cs="Times New Roman"/>
                <w:sz w:val="24"/>
              </w:rPr>
              <w:t>沪士产业城项目</w:t>
            </w:r>
            <w:r>
              <w:rPr>
                <w:rFonts w:hint="default" w:ascii="Times New Roman" w:hAnsi="Times New Roman" w:cs="Times New Roman"/>
                <w:sz w:val="24"/>
              </w:rPr>
              <w:t>：</w:t>
            </w:r>
            <w:r>
              <w:rPr>
                <w:rFonts w:hint="default" w:ascii="Times New Roman" w:hAnsi="Times New Roman" w:eastAsia="宋体" w:cs="Times New Roman"/>
                <w:sz w:val="24"/>
              </w:rPr>
              <w:t>总投资100亿元，布局AI算力服务器、高性能网络等产品，建成后预计年产AI芯片高端印制线路板34万平方米，新增产值百亿元。</w:t>
            </w:r>
          </w:p>
          <w:p w14:paraId="42CA2CCE">
            <w:pPr>
              <w:overflowPunct w:val="0"/>
              <w:spacing w:after="0" w:line="320" w:lineRule="exact"/>
              <w:ind w:firstLine="480" w:firstLineChars="200"/>
              <w:jc w:val="both"/>
              <w:rPr>
                <w:rFonts w:hint="default" w:ascii="Times New Roman" w:hAnsi="Times New Roman" w:eastAsia="宋体" w:cs="Times New Roman"/>
                <w:sz w:val="24"/>
              </w:rPr>
            </w:pPr>
            <w:r>
              <w:rPr>
                <w:rFonts w:hint="default" w:ascii="Times New Roman" w:hAnsi="Times New Roman" w:eastAsia="楷体_GB2312" w:cs="Times New Roman"/>
                <w:sz w:val="24"/>
              </w:rPr>
              <w:t>立讯新一代人工智能终端项目：</w:t>
            </w:r>
            <w:r>
              <w:rPr>
                <w:rFonts w:hint="default" w:ascii="Times New Roman" w:hAnsi="Times New Roman" w:eastAsia="宋体" w:cs="Times New Roman"/>
                <w:sz w:val="24"/>
              </w:rPr>
              <w:t>总投资80亿元，生产AI服务器、</w:t>
            </w:r>
            <w:r>
              <w:rPr>
                <w:rFonts w:hint="default" w:ascii="Times New Roman" w:hAnsi="Times New Roman" w:cs="Times New Roman"/>
                <w:sz w:val="24"/>
              </w:rPr>
              <w:t>AI</w:t>
            </w:r>
            <w:r>
              <w:rPr>
                <w:rFonts w:hint="default" w:ascii="Times New Roman" w:hAnsi="Times New Roman" w:eastAsia="宋体" w:cs="Times New Roman"/>
                <w:sz w:val="24"/>
              </w:rPr>
              <w:t>PC，预计年产值</w:t>
            </w:r>
            <w:r>
              <w:rPr>
                <w:rFonts w:hint="default" w:ascii="Times New Roman" w:hAnsi="Times New Roman" w:cs="Times New Roman"/>
                <w:sz w:val="24"/>
              </w:rPr>
              <w:t>超</w:t>
            </w:r>
            <w:r>
              <w:rPr>
                <w:rFonts w:hint="default" w:ascii="Times New Roman" w:hAnsi="Times New Roman" w:eastAsia="宋体" w:cs="Times New Roman"/>
                <w:sz w:val="24"/>
              </w:rPr>
              <w:t>1</w:t>
            </w:r>
            <w:r>
              <w:rPr>
                <w:rFonts w:hint="default" w:ascii="Times New Roman" w:hAnsi="Times New Roman" w:cs="Times New Roman"/>
                <w:sz w:val="24"/>
              </w:rPr>
              <w:t>2</w:t>
            </w:r>
            <w:r>
              <w:rPr>
                <w:rFonts w:hint="default" w:ascii="Times New Roman" w:hAnsi="Times New Roman" w:eastAsia="宋体" w:cs="Times New Roman"/>
                <w:sz w:val="24"/>
              </w:rPr>
              <w:t>00亿元</w:t>
            </w:r>
            <w:bookmarkStart w:id="306" w:name="_Hlk217997778"/>
            <w:r>
              <w:rPr>
                <w:rFonts w:hint="default" w:ascii="Times New Roman" w:hAnsi="Times New Roman" w:eastAsia="宋体" w:cs="Times New Roman"/>
                <w:sz w:val="24"/>
                <w:lang w:eastAsia="zh-CN"/>
              </w:rPr>
              <w:t>，</w:t>
            </w:r>
            <w:r>
              <w:rPr>
                <w:rFonts w:hint="default" w:ascii="Times New Roman" w:hAnsi="Times New Roman" w:cs="Times New Roman"/>
                <w:sz w:val="24"/>
              </w:rPr>
              <w:t>年产人工智能电脑3000万台</w:t>
            </w:r>
            <w:bookmarkEnd w:id="306"/>
            <w:r>
              <w:rPr>
                <w:rFonts w:hint="default" w:ascii="Times New Roman" w:hAnsi="Times New Roman" w:cs="Times New Roman"/>
                <w:sz w:val="24"/>
                <w:lang w:eastAsia="zh-CN"/>
              </w:rPr>
              <w:t>、</w:t>
            </w:r>
            <w:r>
              <w:rPr>
                <w:rFonts w:hint="default" w:ascii="Times New Roman" w:hAnsi="Times New Roman" w:eastAsia="宋体" w:cs="Times New Roman"/>
                <w:sz w:val="24"/>
              </w:rPr>
              <w:t>AI服务器</w:t>
            </w:r>
            <w:bookmarkStart w:id="307" w:name="_Hlk217997854"/>
            <w:r>
              <w:rPr>
                <w:rFonts w:hint="default" w:ascii="Times New Roman" w:hAnsi="Times New Roman" w:cs="Times New Roman"/>
                <w:sz w:val="24"/>
              </w:rPr>
              <w:t>30万台</w:t>
            </w:r>
            <w:bookmarkEnd w:id="307"/>
            <w:r>
              <w:rPr>
                <w:rFonts w:hint="default" w:ascii="Times New Roman" w:hAnsi="Times New Roman" w:cs="Times New Roman"/>
                <w:sz w:val="24"/>
              </w:rPr>
              <w:t>。</w:t>
            </w:r>
          </w:p>
          <w:p w14:paraId="0B14E6EB">
            <w:pPr>
              <w:pStyle w:val="39"/>
              <w:overflowPunct w:val="0"/>
              <w:spacing w:line="320" w:lineRule="exact"/>
              <w:ind w:firstLine="480" w:firstLineChars="200"/>
              <w:rPr>
                <w:rFonts w:hint="default" w:ascii="Times New Roman" w:hAnsi="Times New Roman" w:cs="Times New Roman"/>
                <w:sz w:val="24"/>
                <w:szCs w:val="24"/>
              </w:rPr>
            </w:pPr>
            <w:r>
              <w:rPr>
                <w:rFonts w:hint="default" w:ascii="Times New Roman" w:hAnsi="Times New Roman" w:eastAsia="楷体_GB2312" w:cs="Times New Roman"/>
                <w:kern w:val="2"/>
                <w:sz w:val="24"/>
                <w:szCs w:val="24"/>
              </w:rPr>
              <w:t>恒美偏光片项目：</w:t>
            </w:r>
            <w:r>
              <w:rPr>
                <w:rFonts w:hint="default" w:ascii="Times New Roman" w:hAnsi="Times New Roman" w:cs="Times New Roman"/>
                <w:sz w:val="24"/>
                <w:szCs w:val="24"/>
              </w:rPr>
              <w:t>总投资55亿元，建设全球首条3000MM超宽幅偏光片生产线，为京东方、华星等面板企业提供配套，达产后年产偏光片1.2亿平方米，产值超60亿元。</w:t>
            </w:r>
          </w:p>
          <w:p w14:paraId="2DB22236">
            <w:pPr>
              <w:overflowPunct w:val="0"/>
              <w:spacing w:after="0" w:line="320" w:lineRule="exact"/>
              <w:ind w:firstLine="480" w:firstLineChars="200"/>
              <w:jc w:val="both"/>
              <w:rPr>
                <w:rFonts w:hint="default" w:ascii="Times New Roman" w:hAnsi="Times New Roman" w:eastAsia="宋体" w:cs="Times New Roman"/>
                <w:sz w:val="24"/>
              </w:rPr>
            </w:pPr>
            <w:r>
              <w:rPr>
                <w:rFonts w:hint="default" w:ascii="Times New Roman" w:hAnsi="Times New Roman" w:eastAsia="楷体_GB2312" w:cs="Times New Roman"/>
                <w:sz w:val="24"/>
              </w:rPr>
              <w:t>维信诺全球光电未来新型显示创新中心项目：</w:t>
            </w:r>
            <w:r>
              <w:rPr>
                <w:rFonts w:hint="default" w:ascii="Times New Roman" w:hAnsi="Times New Roman" w:eastAsia="宋体" w:cs="Times New Roman"/>
                <w:sz w:val="24"/>
              </w:rPr>
              <w:t>总投资50亿元，围绕前沿显示技术开发、XR相关产品交付、泛半导体成果转化等布局，</w:t>
            </w:r>
            <w:r>
              <w:rPr>
                <w:rFonts w:hint="default" w:ascii="Times New Roman" w:hAnsi="Times New Roman" w:cs="Times New Roman"/>
                <w:sz w:val="24"/>
              </w:rPr>
              <w:t>年产XR产品150万件。</w:t>
            </w:r>
          </w:p>
          <w:p w14:paraId="4882A66C">
            <w:pPr>
              <w:overflowPunct w:val="0"/>
              <w:spacing w:after="0" w:line="320" w:lineRule="exact"/>
              <w:ind w:firstLine="480" w:firstLineChars="200"/>
              <w:jc w:val="both"/>
              <w:rPr>
                <w:rFonts w:hint="default" w:ascii="Times New Roman" w:hAnsi="Times New Roman" w:eastAsia="宋体" w:cs="Times New Roman"/>
                <w:sz w:val="24"/>
              </w:rPr>
            </w:pPr>
            <w:r>
              <w:rPr>
                <w:rFonts w:hint="default" w:ascii="Times New Roman" w:hAnsi="Times New Roman" w:eastAsia="楷体_GB2312" w:cs="Times New Roman"/>
                <w:sz w:val="24"/>
              </w:rPr>
              <w:t>錼创Micro LED制造基地项目：</w:t>
            </w:r>
            <w:r>
              <w:rPr>
                <w:rFonts w:hint="default" w:ascii="Times New Roman" w:hAnsi="Times New Roman" w:eastAsia="宋体" w:cs="Times New Roman"/>
                <w:sz w:val="24"/>
              </w:rPr>
              <w:t>总投资35亿元，</w:t>
            </w:r>
            <w:r>
              <w:rPr>
                <w:rFonts w:hint="default" w:ascii="Times New Roman" w:hAnsi="Times New Roman" w:cs="Times New Roman"/>
                <w:sz w:val="24"/>
              </w:rPr>
              <w:t>建设全球首条G4.5代Micro LED巨量转移玻璃基板产线，解决“卡脖子”技术，打造量产的Micro LED显示面板技术。</w:t>
            </w:r>
          </w:p>
          <w:p w14:paraId="18F48352">
            <w:pPr>
              <w:pStyle w:val="39"/>
              <w:overflowPunct w:val="0"/>
              <w:spacing w:line="320" w:lineRule="exact"/>
              <w:ind w:firstLine="480" w:firstLineChars="200"/>
              <w:rPr>
                <w:rFonts w:hint="default" w:ascii="Times New Roman" w:hAnsi="Times New Roman" w:cs="Times New Roman"/>
                <w:sz w:val="24"/>
                <w:szCs w:val="24"/>
              </w:rPr>
            </w:pPr>
            <w:r>
              <w:rPr>
                <w:rFonts w:hint="default" w:ascii="Times New Roman" w:hAnsi="Times New Roman" w:eastAsia="楷体_GB2312" w:cs="Times New Roman"/>
                <w:kern w:val="2"/>
                <w:sz w:val="24"/>
                <w:szCs w:val="24"/>
              </w:rPr>
              <w:t>方新半导体核心零部件项目：</w:t>
            </w:r>
            <w:r>
              <w:rPr>
                <w:rFonts w:hint="default" w:ascii="Times New Roman" w:hAnsi="Times New Roman" w:cs="Times New Roman"/>
                <w:sz w:val="24"/>
                <w:szCs w:val="24"/>
              </w:rPr>
              <w:t>总投资35亿元，主要生产匀气盘、静电吸盘和精密陶瓷等半导体核心零部件，建成后年产值预计25亿元。</w:t>
            </w:r>
          </w:p>
          <w:p w14:paraId="163F360A">
            <w:pPr>
              <w:overflowPunct w:val="0"/>
              <w:spacing w:after="0" w:line="320" w:lineRule="exact"/>
              <w:ind w:firstLine="480" w:firstLineChars="200"/>
              <w:jc w:val="both"/>
              <w:rPr>
                <w:rFonts w:hint="default" w:ascii="Times New Roman" w:hAnsi="Times New Roman" w:eastAsia="宋体" w:cs="Times New Roman"/>
                <w:kern w:val="0"/>
                <w:sz w:val="24"/>
              </w:rPr>
            </w:pPr>
            <w:r>
              <w:rPr>
                <w:rFonts w:hint="default" w:ascii="Times New Roman" w:hAnsi="Times New Roman" w:eastAsia="楷体_GB2312" w:cs="Times New Roman"/>
                <w:sz w:val="24"/>
              </w:rPr>
              <w:t>台光电子AI高性能覆铜板项目：</w:t>
            </w:r>
            <w:r>
              <w:rPr>
                <w:rFonts w:hint="default" w:ascii="Times New Roman" w:hAnsi="Times New Roman" w:eastAsia="宋体" w:cs="Times New Roman"/>
                <w:kern w:val="0"/>
                <w:sz w:val="24"/>
              </w:rPr>
              <w:t>总投资21亿元，聚焦覆铜箔基板及粘合片生产制造与研发，重点服务人工智能应用、算力中心建设及交换器传输速度提升，达产后年产值88亿元。</w:t>
            </w:r>
          </w:p>
          <w:p w14:paraId="4B187EFF">
            <w:pPr>
              <w:pStyle w:val="39"/>
              <w:overflowPunct w:val="0"/>
              <w:spacing w:line="320" w:lineRule="exact"/>
              <w:ind w:firstLine="480" w:firstLineChars="200"/>
              <w:rPr>
                <w:rFonts w:hint="default" w:ascii="Times New Roman" w:hAnsi="Times New Roman" w:eastAsia="仿宋_GB2312" w:cs="Times New Roman"/>
                <w:kern w:val="2"/>
                <w:sz w:val="32"/>
                <w:szCs w:val="32"/>
              </w:rPr>
            </w:pPr>
            <w:r>
              <w:rPr>
                <w:rFonts w:hint="default" w:ascii="Times New Roman" w:hAnsi="Times New Roman" w:eastAsia="楷体_GB2312" w:cs="Times New Roman"/>
                <w:kern w:val="2"/>
                <w:sz w:val="24"/>
                <w:szCs w:val="24"/>
              </w:rPr>
              <w:t>立讯智能声学项目</w:t>
            </w:r>
            <w:r>
              <w:rPr>
                <w:rFonts w:hint="default" w:ascii="Times New Roman" w:hAnsi="Times New Roman" w:cs="Times New Roman"/>
                <w:kern w:val="2"/>
                <w:sz w:val="24"/>
                <w:szCs w:val="24"/>
              </w:rPr>
              <w:t>：</w:t>
            </w:r>
            <w:r>
              <w:rPr>
                <w:rFonts w:hint="default" w:ascii="Times New Roman" w:hAnsi="Times New Roman" w:cs="Times New Roman"/>
                <w:sz w:val="24"/>
                <w:szCs w:val="24"/>
              </w:rPr>
              <w:t>总投资20亿元，从事蓝牙耳机等智能声学产品研发制造，达产后年产高端蓝牙耳机约1600万套，年产值超100亿元。</w:t>
            </w:r>
          </w:p>
        </w:tc>
      </w:tr>
    </w:tbl>
    <w:p w14:paraId="2A2B6974">
      <w:pPr>
        <w:overflowPunct w:val="0"/>
        <w:adjustRightInd w:val="0"/>
        <w:spacing w:before="156" w:beforeLines="50" w:after="0" w:line="600" w:lineRule="exact"/>
        <w:jc w:val="center"/>
        <w:outlineLvl w:val="2"/>
        <w:rPr>
          <w:rFonts w:hint="default" w:ascii="Times New Roman" w:hAnsi="Times New Roman" w:eastAsia="楷体" w:cs="Times New Roman"/>
          <w:sz w:val="32"/>
          <w:szCs w:val="32"/>
        </w:rPr>
      </w:pPr>
      <w:bookmarkStart w:id="308" w:name="_Toc18584"/>
      <w:bookmarkStart w:id="309" w:name="_Toc4375"/>
      <w:bookmarkStart w:id="310" w:name="_Toc20235"/>
      <w:bookmarkStart w:id="311" w:name="_Toc10476"/>
      <w:bookmarkStart w:id="312" w:name="_Toc218010913"/>
      <w:r>
        <w:rPr>
          <w:rFonts w:hint="default" w:ascii="Times New Roman" w:hAnsi="Times New Roman" w:eastAsia="楷体" w:cs="Times New Roman"/>
          <w:sz w:val="32"/>
          <w:szCs w:val="32"/>
        </w:rPr>
        <w:t>第二节 聚力壮大“多强”新兴产业集群</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8"/>
      <w:bookmarkEnd w:id="309"/>
      <w:bookmarkEnd w:id="310"/>
      <w:bookmarkEnd w:id="311"/>
      <w:bookmarkEnd w:id="312"/>
    </w:p>
    <w:p w14:paraId="23ED46E6">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培优育强高端装备。</w:t>
      </w:r>
      <w:r>
        <w:rPr>
          <w:rFonts w:hint="default" w:ascii="Times New Roman" w:hAnsi="Times New Roman" w:eastAsia="仿宋_GB2312" w:cs="Times New Roman"/>
          <w:sz w:val="32"/>
          <w:szCs w:val="32"/>
        </w:rPr>
        <w:t>壮大工程机械装备产业规模，加快发动机、液压件、传动件、控制系统等关键零部件研发，发展挖掘机、桩工机械、起重机械、智慧叉车AGV等工程机械，推动工程机械轻量化发展，发展小型挖掘机、小型路面机、小型装载机、无人挖掘机。突破高端数控机床“卡脖子”环节，大力发展精密多轴数控机床、智能成套装备，推动高端数控机床高精度、功能复合化发展，逐步实现国产化替代。推动工业自动化设备智能化升级，深度融合视觉识别、</w:t>
      </w:r>
      <w:bookmarkStart w:id="313" w:name="OLE_LINK1"/>
      <w:bookmarkStart w:id="314" w:name="OLE_LINK3"/>
      <w:r>
        <w:rPr>
          <w:rFonts w:hint="default" w:ascii="Times New Roman" w:hAnsi="Times New Roman" w:eastAsia="仿宋_GB2312" w:cs="Times New Roman"/>
          <w:sz w:val="32"/>
          <w:szCs w:val="32"/>
        </w:rPr>
        <w:t>高精度传</w:t>
      </w:r>
      <w:bookmarkEnd w:id="313"/>
      <w:bookmarkEnd w:id="314"/>
      <w:r>
        <w:rPr>
          <w:rFonts w:hint="default" w:ascii="Times New Roman" w:hAnsi="Times New Roman" w:eastAsia="仿宋_GB2312" w:cs="Times New Roman"/>
          <w:sz w:val="32"/>
          <w:szCs w:val="32"/>
        </w:rPr>
        <w:t>感、高密度传动、AI算法等人工智能技术。做优通用/基础设备，重点发展智能电梯，主攻PLC控制、先进传感、人工神经网络技术，部署电梯物联网。支持模具产业基地等园区重点发展高端精密模具，推进中欧、亚洲模具制造生态圈建设，培育一批精密模具制造骨干企业，构建“基础牢固、链条完整、技术自主、协同高效”的高端装备产业体系。</w:t>
      </w:r>
    </w:p>
    <w:p w14:paraId="4A52EAD9">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全力攻坚智能网联汽车。</w:t>
      </w:r>
      <w:r>
        <w:rPr>
          <w:rFonts w:hint="default" w:ascii="Times New Roman" w:hAnsi="Times New Roman" w:eastAsia="仿宋_GB2312" w:cs="Times New Roman"/>
          <w:sz w:val="32"/>
          <w:szCs w:val="32"/>
        </w:rPr>
        <w:t>围绕“汽车电子</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智能软件</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整车组装”发展路径，补齐智能软件等关键环节短板，实现从零部件到整车全面升级。推动消费电子向汽车电子延伸，支持新型显示、智能交互、电池、通信等技术移植到汽车产业，加快智能驾驶、智能座舱、整机控制三大平台及“三电”核心系统等关键技术研发，大力推动碳化硅功率器件、车载显示屏、车规级芯片、激光雷达、摄像模组、车用无线通信、电源管理等智能网联汽车核心零部件的本地化研发制造，协同切入知名车企供应链体系。推动L4级自动驾驶、智能感知系统、智能决策与控制、人车交互系统等智能软件技术研发，重点突破多模态环境理解与自适应路径规划算法。建设智能网联汽车开放测试场。择机引进智能网联整车项目，提升冲压、拼焊、涂装、装配等车身总成核心工艺，推动整零高效协同、软硬一体发展。</w:t>
      </w:r>
    </w:p>
    <w:p w14:paraId="5C720C55">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抢先突破具身智能。</w:t>
      </w:r>
      <w:r>
        <w:rPr>
          <w:rFonts w:hint="default" w:ascii="Times New Roman" w:hAnsi="Times New Roman" w:eastAsia="仿宋_GB2312" w:cs="Times New Roman"/>
          <w:sz w:val="32"/>
          <w:szCs w:val="32"/>
        </w:rPr>
        <w:t>依托汽车零部件、精密制造和机器人产业优势，按照“核心部件</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功能模组</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整机集成”并行发展路径，系统布局具身智能产业生态，引入人形机器人战略级整机企业，开发全尺寸人形机器人整机，打造具身智能机器人创新中心。围绕“全类型”战略定位，构建覆盖产业“工人”、家庭“管家”、特种“卫士”等多元角色的具身智能产品生态，特别是发挥工业场景资源优势，引导整机企业与制造业协同开展工业具身智能产品开发。重点布局六维力矩传感器、行星滚珠丝杠、空心杯电机、灵巧手等高价值硬件，加快发展精密减速器、高端伺服驱动、高性能控制器、多模态高精度传感器等产品，攻关突破电子皮肤、轻量化材料、高强度本体结构、高密度电池等领域前沿技术。推进具身智能“大脑”“小脑”模型培育，提升智能体在空间物体识别、环境自主感知、任务规划执行等方面能力。</w:t>
      </w:r>
    </w:p>
    <w:p w14:paraId="108D4A84">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bookmarkStart w:id="315" w:name="_Toc8079"/>
      <w:bookmarkStart w:id="316" w:name="_Toc25865"/>
      <w:bookmarkStart w:id="317" w:name="_Toc23550"/>
      <w:bookmarkStart w:id="318" w:name="_Toc14018"/>
      <w:bookmarkStart w:id="319" w:name="_Toc20837"/>
      <w:bookmarkStart w:id="320" w:name="_Toc10974"/>
      <w:bookmarkStart w:id="321" w:name="_Toc1491"/>
      <w:bookmarkStart w:id="322" w:name="_Toc21465"/>
      <w:bookmarkStart w:id="323" w:name="_Toc31511"/>
      <w:bookmarkStart w:id="324" w:name="_Toc8722"/>
      <w:bookmarkStart w:id="325" w:name="_Toc15293"/>
      <w:bookmarkStart w:id="326" w:name="_Toc7029"/>
      <w:bookmarkStart w:id="327" w:name="_Toc22904"/>
      <w:bookmarkStart w:id="328" w:name="_Toc14886"/>
      <w:r>
        <w:rPr>
          <w:rFonts w:hint="default" w:ascii="Times New Roman" w:hAnsi="Times New Roman" w:eastAsia="楷体" w:cs="Times New Roman"/>
          <w:sz w:val="32"/>
          <w:szCs w:val="32"/>
        </w:rPr>
        <w:t>全链整合低空飞行器。</w:t>
      </w:r>
      <w:r>
        <w:rPr>
          <w:rFonts w:hint="default" w:ascii="Times New Roman" w:hAnsi="Times New Roman" w:eastAsia="仿宋_GB2312" w:cs="Times New Roman"/>
          <w:sz w:val="32"/>
          <w:szCs w:val="32"/>
        </w:rPr>
        <w:t>围绕打造长三角低空飞行器先进制造中心，依托花桥低空经济产业园、淀山湖绿色航空产业园，重点发展eVTOL、全尺寸载货无人机等多类型、多机型整机。引导智能芯片、电子器件、光电显示等领域企业对接低空经济终端链主企业，构建覆盖关键原材料、核心零部件、整机制造、机载设备到运营服务的“研发+制造+运营+服务”低空飞行器全链条发展生态。加强与低空经济科研院所、创新平台合作，攻关突破整机构型设计、高性能电池、超长航时飞控系统、应急救援、空天地融合通信等领域关键技术，开发更多适应不同场景的低空飞行器。争取空域开放、航路航线、低空起降设施等资源，探索低空飞行器在快递配送、城市消费、物流运输、应急救援、行业治理等领域的新应用，培育飞行运营、维保改装、数据服务等低空经济新业态。</w:t>
      </w:r>
    </w:p>
    <w:p w14:paraId="5D668FE5">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329" w:name="_Toc6722"/>
      <w:bookmarkStart w:id="330" w:name="_Toc9383"/>
      <w:bookmarkStart w:id="331" w:name="_Toc3550"/>
      <w:bookmarkStart w:id="332" w:name="_Toc20879"/>
      <w:bookmarkStart w:id="333" w:name="_Toc218010914"/>
      <w:bookmarkStart w:id="334" w:name="_Toc762"/>
      <w:bookmarkStart w:id="335" w:name="_Toc23985"/>
      <w:r>
        <w:rPr>
          <w:rFonts w:hint="default" w:ascii="Times New Roman" w:hAnsi="Times New Roman" w:eastAsia="楷体" w:cs="Times New Roman"/>
          <w:sz w:val="32"/>
          <w:szCs w:val="32"/>
        </w:rPr>
        <w:t>第三节 加快发展特色产业和未来产业集群</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14:paraId="4070CE15">
      <w:pPr>
        <w:widowControl/>
        <w:overflowPunct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培育壮大高端食品。</w:t>
      </w:r>
      <w:r>
        <w:rPr>
          <w:rFonts w:hint="default" w:ascii="Times New Roman" w:hAnsi="Times New Roman" w:eastAsia="仿宋_GB2312" w:cs="Times New Roman"/>
          <w:sz w:val="32"/>
          <w:szCs w:val="32"/>
        </w:rPr>
        <w:t>全力构建千亿级咖啡产业链，布局生豆贸易、烘焙加工、设备制造与品牌营销全环节，做强亚太咖啡“六大中心”功能，提升“国际咖啡产业之都”知名度。紧扣年轻群体消费喜好，做大茶饮、烘焙、甜品等“甜蜜产业”规模，支持功能性配料研发与加工副产物高值化利用。加快进口食品（花桥）国际贸易中心建设，强化“昆味甄选”公共品牌推广，打造联接海内外、辐射长三角的国内外优质农副产品和新兴食品展贸中心，构建全球一站式食品采购与创新平台。抢占特医食品蓝海市场，聚焦老年营养、术后康复及婴幼儿特殊需求，开发增强免疫力、调节代谢、抗氧化等特色功能食品。瞄准宠物经济爆发机遇，引育国内外知名品牌，建设宠物营养研究中心、检测实验室及高标准生产基地，打造高端宠物食品研发与制造基地。</w:t>
      </w:r>
    </w:p>
    <w:tbl>
      <w:tblPr>
        <w:tblStyle w:val="19"/>
        <w:tblW w:w="8522" w:type="dxa"/>
        <w:jc w:val="center"/>
        <w:tblBorders>
          <w:top w:val="single" w:color="auto" w:sz="12" w:space="0"/>
          <w:left w:val="single" w:color="auto" w:sz="12" w:space="0"/>
          <w:bottom w:val="single" w:color="auto" w:sz="12" w:space="0"/>
          <w:right w:val="single" w:color="auto" w:sz="12" w:space="0"/>
          <w:insideH w:val="single" w:color="auto" w:sz="2" w:space="0"/>
          <w:insideV w:val="outset" w:color="auto" w:sz="6" w:space="0"/>
        </w:tblBorders>
        <w:tblLayout w:type="fixed"/>
        <w:tblCellMar>
          <w:top w:w="0" w:type="dxa"/>
          <w:left w:w="108" w:type="dxa"/>
          <w:bottom w:w="0" w:type="dxa"/>
          <w:right w:w="108" w:type="dxa"/>
        </w:tblCellMar>
      </w:tblPr>
      <w:tblGrid>
        <w:gridCol w:w="8522"/>
      </w:tblGrid>
      <w:tr w14:paraId="03C86DAB">
        <w:tblPrEx>
          <w:tblBorders>
            <w:top w:val="single" w:color="auto" w:sz="12" w:space="0"/>
            <w:left w:val="single" w:color="auto" w:sz="12" w:space="0"/>
            <w:bottom w:val="single" w:color="auto" w:sz="12" w:space="0"/>
            <w:right w:val="single" w:color="auto" w:sz="12" w:space="0"/>
            <w:insideH w:val="single" w:color="auto" w:sz="2" w:space="0"/>
            <w:insideV w:val="outset" w:color="auto" w:sz="6" w:space="0"/>
          </w:tblBorders>
          <w:tblCellMar>
            <w:top w:w="0" w:type="dxa"/>
            <w:left w:w="108" w:type="dxa"/>
            <w:bottom w:w="0" w:type="dxa"/>
            <w:right w:w="108" w:type="dxa"/>
          </w:tblCellMar>
        </w:tblPrEx>
        <w:trPr>
          <w:trHeight w:val="8192" w:hRule="atLeast"/>
          <w:jc w:val="center"/>
        </w:trPr>
        <w:tc>
          <w:tcPr>
            <w:tcW w:w="8522" w:type="dxa"/>
            <w:tcBorders>
              <w:top w:val="single" w:color="auto" w:sz="12" w:space="0"/>
              <w:left w:val="single" w:color="auto" w:sz="12" w:space="0"/>
              <w:bottom w:val="single" w:color="auto" w:sz="12" w:space="0"/>
              <w:right w:val="single" w:color="auto" w:sz="12" w:space="0"/>
            </w:tcBorders>
            <w:vAlign w:val="center"/>
          </w:tcPr>
          <w:p w14:paraId="26269187">
            <w:pPr>
              <w:overflowPunct w:val="0"/>
              <w:autoSpaceDE w:val="0"/>
              <w:autoSpaceDN w:val="0"/>
              <w:adjustRightInd w:val="0"/>
              <w:snapToGrid w:val="0"/>
              <w:spacing w:after="156" w:afterLines="50" w:line="600" w:lineRule="exact"/>
              <w:jc w:val="center"/>
              <w:textAlignment w:val="baseline"/>
              <w:rPr>
                <w:rFonts w:hint="default" w:ascii="Times New Roman" w:hAnsi="Times New Roman" w:eastAsia="黑体" w:cs="Times New Roman"/>
                <w:spacing w:val="-1"/>
                <w:sz w:val="28"/>
                <w:szCs w:val="28"/>
              </w:rPr>
            </w:pPr>
            <w:r>
              <w:rPr>
                <w:rFonts w:hint="default" w:ascii="Times New Roman" w:hAnsi="Times New Roman" w:eastAsia="黑体" w:cs="Times New Roman"/>
                <w:spacing w:val="-1"/>
                <w:sz w:val="28"/>
                <w:szCs w:val="28"/>
              </w:rPr>
              <w:t xml:space="preserve">专栏 </w:t>
            </w:r>
            <w:r>
              <w:rPr>
                <w:rFonts w:hint="default" w:ascii="Times New Roman" w:hAnsi="Times New Roman" w:eastAsia="黑体" w:cs="Times New Roman"/>
                <w:spacing w:val="-1"/>
                <w:sz w:val="28"/>
                <w:szCs w:val="28"/>
                <w:lang w:val="en-US" w:eastAsia="zh-CN"/>
              </w:rPr>
              <w:t>2</w:t>
            </w:r>
            <w:r>
              <w:rPr>
                <w:rFonts w:hint="default" w:ascii="Times New Roman" w:hAnsi="Times New Roman" w:eastAsia="黑体" w:cs="Times New Roman"/>
                <w:spacing w:val="-1"/>
                <w:sz w:val="28"/>
                <w:szCs w:val="28"/>
              </w:rPr>
              <w:t>：国际咖啡产业之都六大中心建设</w:t>
            </w:r>
          </w:p>
          <w:p w14:paraId="75B01382">
            <w:pPr>
              <w:overflowPunct w:val="0"/>
              <w:adjustRightInd w:val="0"/>
              <w:snapToGrid w:val="0"/>
              <w:spacing w:after="0" w:line="320" w:lineRule="exact"/>
              <w:ind w:firstLine="464" w:firstLineChars="200"/>
              <w:jc w:val="both"/>
              <w:textAlignment w:val="baseline"/>
              <w:rPr>
                <w:rFonts w:hint="default" w:ascii="Times New Roman" w:hAnsi="Times New Roman" w:eastAsia="宋体" w:cs="Times New Roman"/>
                <w:spacing w:val="-4"/>
                <w:sz w:val="24"/>
              </w:rPr>
            </w:pPr>
            <w:r>
              <w:rPr>
                <w:rFonts w:hint="default" w:ascii="Times New Roman" w:hAnsi="Times New Roman" w:eastAsia="楷体_GB2312" w:cs="Times New Roman"/>
                <w:spacing w:val="-4"/>
                <w:sz w:val="24"/>
              </w:rPr>
              <w:t>亚太咖啡品牌销售中心</w:t>
            </w:r>
            <w:r>
              <w:rPr>
                <w:rFonts w:hint="default" w:ascii="Times New Roman" w:hAnsi="Times New Roman" w:eastAsia="宋体" w:cs="Times New Roman"/>
                <w:spacing w:val="-4"/>
                <w:sz w:val="24"/>
              </w:rPr>
              <w:t>。深化与国际连锁品牌合作，引进国内外知名咖啡品牌总部机构、结算中心、运营总部。探索设立咖啡新锐品牌孵化加速器，引进新锐品牌团队入驻，打造全国咖啡品牌集聚孵化高地。依托昆山咖啡产业创意中心、进口食品（花桥）国际贸易中心等平台，为企业提供“线上+线下”的品牌营销、展示交易等服务，构造“昆山制造+咖啡品牌IP+内容营销”生态圈。</w:t>
            </w:r>
          </w:p>
          <w:p w14:paraId="7904C91B">
            <w:pPr>
              <w:overflowPunct w:val="0"/>
              <w:adjustRightInd w:val="0"/>
              <w:snapToGrid w:val="0"/>
              <w:spacing w:after="0" w:line="320" w:lineRule="exact"/>
              <w:ind w:firstLine="464" w:firstLineChars="200"/>
              <w:jc w:val="both"/>
              <w:textAlignment w:val="baseline"/>
              <w:rPr>
                <w:rFonts w:hint="default" w:ascii="Times New Roman" w:hAnsi="Times New Roman" w:eastAsia="宋体" w:cs="Times New Roman"/>
                <w:spacing w:val="-4"/>
                <w:sz w:val="24"/>
              </w:rPr>
            </w:pPr>
            <w:r>
              <w:rPr>
                <w:rFonts w:hint="default" w:ascii="Times New Roman" w:hAnsi="Times New Roman" w:eastAsia="楷体_GB2312" w:cs="Times New Roman"/>
                <w:spacing w:val="-4"/>
                <w:sz w:val="24"/>
              </w:rPr>
              <w:t>亚太咖啡集采分拨中心</w:t>
            </w:r>
            <w:r>
              <w:rPr>
                <w:rFonts w:hint="default" w:ascii="Times New Roman" w:hAnsi="Times New Roman" w:eastAsia="宋体" w:cs="Times New Roman"/>
                <w:spacing w:val="-4"/>
                <w:sz w:val="24"/>
              </w:rPr>
              <w:t>。升级亚太咖啡生豆分拨仓库功能，建设云南咖啡（长三角）分拨中心，鼓励企业有序拓展南美洲、东南亚等咖啡产地资源，构建更多咖啡仓，壮大昆山咖啡进出口和亚太转口贸易规模。延伸做好可可豆、乳制品等相关大宗产品进口集散，构建数字化的咖啡和衍生品供应链集采中心。</w:t>
            </w:r>
          </w:p>
          <w:p w14:paraId="7B92D6B3">
            <w:pPr>
              <w:overflowPunct w:val="0"/>
              <w:adjustRightInd w:val="0"/>
              <w:snapToGrid w:val="0"/>
              <w:spacing w:after="0" w:line="320" w:lineRule="exact"/>
              <w:ind w:firstLine="464" w:firstLineChars="200"/>
              <w:jc w:val="both"/>
              <w:textAlignment w:val="baseline"/>
              <w:rPr>
                <w:rFonts w:hint="default" w:ascii="Times New Roman" w:hAnsi="Times New Roman" w:eastAsia="宋体" w:cs="Times New Roman"/>
                <w:spacing w:val="-4"/>
                <w:sz w:val="24"/>
              </w:rPr>
            </w:pPr>
            <w:r>
              <w:rPr>
                <w:rFonts w:hint="default" w:ascii="Times New Roman" w:hAnsi="Times New Roman" w:eastAsia="楷体_GB2312" w:cs="Times New Roman"/>
                <w:spacing w:val="-4"/>
                <w:sz w:val="24"/>
              </w:rPr>
              <w:t>亚太大宗商品贸易中心</w:t>
            </w:r>
            <w:r>
              <w:rPr>
                <w:rFonts w:hint="default" w:ascii="Times New Roman" w:hAnsi="Times New Roman" w:eastAsia="宋体" w:cs="Times New Roman"/>
                <w:spacing w:val="-4"/>
                <w:sz w:val="24"/>
              </w:rPr>
              <w:t>。建成运行集物流、信息流、商流、资金流于一体的昆山亚太大宗商品贸易平台，加快建设云南咖啡联合贸易中心，配套设立咖啡检测中心。构建覆盖现货贸易、供应链金融的咖啡线上平台，吸引更多国内外大型和中小咖啡生产商、贸易商及下游采购商入驻。</w:t>
            </w:r>
          </w:p>
          <w:p w14:paraId="5E02A965">
            <w:pPr>
              <w:overflowPunct w:val="0"/>
              <w:adjustRightInd w:val="0"/>
              <w:snapToGrid w:val="0"/>
              <w:spacing w:after="0" w:line="320" w:lineRule="exact"/>
              <w:ind w:firstLine="464" w:firstLineChars="200"/>
              <w:jc w:val="both"/>
              <w:textAlignment w:val="baseline"/>
              <w:rPr>
                <w:rFonts w:hint="default" w:ascii="Times New Roman" w:hAnsi="Times New Roman" w:eastAsia="宋体" w:cs="Times New Roman"/>
                <w:spacing w:val="-4"/>
                <w:sz w:val="24"/>
              </w:rPr>
            </w:pPr>
            <w:r>
              <w:rPr>
                <w:rFonts w:hint="default" w:ascii="Times New Roman" w:hAnsi="Times New Roman" w:eastAsia="楷体_GB2312" w:cs="Times New Roman"/>
                <w:spacing w:val="-4"/>
                <w:sz w:val="24"/>
              </w:rPr>
              <w:t>亚太咖啡烘焙研磨中心</w:t>
            </w:r>
            <w:r>
              <w:rPr>
                <w:rFonts w:hint="default" w:ascii="Times New Roman" w:hAnsi="Times New Roman" w:eastAsia="宋体" w:cs="Times New Roman"/>
                <w:spacing w:val="-4"/>
                <w:sz w:val="24"/>
              </w:rPr>
              <w:t>。发挥龙头企业带动效应，加快培育一批年产能3000-5000吨的咖啡烘焙企业，打造全国最大的咖啡生豆烘焙基地。吸引集聚一批咖啡深加工企业，建设咖啡初加工生产线、精深加工生产线，加快形成“烘焙-研磨-萃取”的完整产业链。</w:t>
            </w:r>
          </w:p>
          <w:p w14:paraId="36C6A336">
            <w:pPr>
              <w:overflowPunct w:val="0"/>
              <w:adjustRightInd w:val="0"/>
              <w:snapToGrid w:val="0"/>
              <w:spacing w:after="0" w:line="320" w:lineRule="exact"/>
              <w:ind w:firstLine="464" w:firstLineChars="200"/>
              <w:jc w:val="both"/>
              <w:textAlignment w:val="baseline"/>
              <w:rPr>
                <w:rFonts w:hint="default" w:ascii="Times New Roman" w:hAnsi="Times New Roman" w:eastAsia="宋体" w:cs="Times New Roman"/>
                <w:spacing w:val="-4"/>
                <w:sz w:val="24"/>
              </w:rPr>
            </w:pPr>
            <w:r>
              <w:rPr>
                <w:rFonts w:hint="default" w:ascii="Times New Roman" w:hAnsi="Times New Roman" w:eastAsia="楷体_GB2312" w:cs="Times New Roman"/>
                <w:spacing w:val="-4"/>
                <w:sz w:val="24"/>
              </w:rPr>
              <w:t>亚太咖啡研发培训中心</w:t>
            </w:r>
            <w:r>
              <w:rPr>
                <w:rFonts w:hint="default" w:ascii="Times New Roman" w:hAnsi="Times New Roman" w:eastAsia="宋体" w:cs="Times New Roman"/>
                <w:spacing w:val="-4"/>
                <w:sz w:val="24"/>
              </w:rPr>
              <w:t>。加强与苏州大学应用技术学院、江南大学食品学院等高校院所合作，开展咖啡技术攻关、咖啡新品研发、咖啡职业（工种）培训等，推进咖啡烘焙师证、评鉴师证等行业人才资格认证落地。</w:t>
            </w:r>
          </w:p>
          <w:p w14:paraId="444A38AE">
            <w:pPr>
              <w:overflowPunct w:val="0"/>
              <w:adjustRightInd w:val="0"/>
              <w:snapToGrid w:val="0"/>
              <w:spacing w:after="0" w:line="320" w:lineRule="exact"/>
              <w:ind w:firstLine="464" w:firstLineChars="200"/>
              <w:jc w:val="both"/>
              <w:textAlignment w:val="baseline"/>
              <w:rPr>
                <w:rFonts w:hint="default" w:ascii="Times New Roman" w:hAnsi="Times New Roman" w:eastAsia="宋体" w:cs="Times New Roman"/>
                <w:color w:val="000000"/>
                <w:sz w:val="32"/>
                <w:szCs w:val="32"/>
              </w:rPr>
            </w:pPr>
            <w:r>
              <w:rPr>
                <w:rFonts w:hint="default" w:ascii="Times New Roman" w:hAnsi="Times New Roman" w:eastAsia="楷体_GB2312" w:cs="Times New Roman"/>
                <w:spacing w:val="-4"/>
                <w:sz w:val="24"/>
              </w:rPr>
              <w:t>亚太咖啡设备制造中心</w:t>
            </w:r>
            <w:r>
              <w:rPr>
                <w:rFonts w:hint="default" w:ascii="Times New Roman" w:hAnsi="Times New Roman" w:eastAsia="宋体" w:cs="Times New Roman"/>
                <w:spacing w:val="-4"/>
                <w:sz w:val="24"/>
              </w:rPr>
              <w:t>。加快引进国际国内咖啡设备制造企业，在昆山设立咖啡设备研发设计、生产制造、展示销售中心，全力打造从咖啡设备核心部件到咖啡机、磨豆机、烘焙机等全套设备的亚太咖啡设备制造基地。</w:t>
            </w:r>
          </w:p>
        </w:tc>
      </w:tr>
    </w:tbl>
    <w:p w14:paraId="12399CD3">
      <w:pPr>
        <w:overflowPunct w:val="0"/>
        <w:adjustRightInd w:val="0"/>
        <w:spacing w:before="156" w:beforeLines="50"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品牌引领时尚消费。</w:t>
      </w:r>
      <w:r>
        <w:rPr>
          <w:rFonts w:hint="default" w:ascii="Times New Roman" w:hAnsi="Times New Roman" w:eastAsia="仿宋_GB2312" w:cs="Times New Roman"/>
          <w:sz w:val="32"/>
          <w:szCs w:val="32"/>
        </w:rPr>
        <w:t>强化与上海时装周协同，建设晨风时尚村、巴城羊绒服装产业时尚街区，汇聚全球独立设计师团队和优秀设计人才，孵化一批新锐服装品牌，打造集创意设计、品牌孵化和展销会务等功能于一体，“展全球、销全球”的国际一流时尚平台，提升国际知名创意品牌配套生产能力。推动家居产业向智能化、时尚化、定制化方向发展。培育“谷子经济”，吸引动漫、游戏、偶像等优质IP版权合作与授权落地，引入知名潮玩设计、3D打印企业，鼓励企业参与IP设计、衍生品开发与制造，打造盲盒、手办、文创潮品等多样化时尚创意产品。围绕昆曲、江南水乡等特色文化，重点发展具有“江南韵、时尚风”的IP衍生品、非遗传承、工艺美术等。推动消费电子与时尚产业跨界融合。</w:t>
      </w:r>
    </w:p>
    <w:p w14:paraId="156C9A40">
      <w:pPr>
        <w:widowControl/>
        <w:overflowPunct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潜心深耕生物制造。</w:t>
      </w:r>
      <w:r>
        <w:rPr>
          <w:rFonts w:hint="default" w:ascii="Times New Roman" w:hAnsi="Times New Roman" w:eastAsia="仿宋_GB2312" w:cs="Times New Roman"/>
          <w:sz w:val="32"/>
          <w:szCs w:val="32"/>
        </w:rPr>
        <w:t>深化沪昆整形医学及抗衰产业园和中韩医美生物科技（昆山）产业园等载体建设，聚焦整复外科、抗衰老、口腔、眼科、健康管理等领域，引育医美器械制造、护肤美妆、干细胞、生物材料等前沿技术项目，推动沪昆整形医学基地实验室平台开放共享，形成</w:t>
      </w:r>
      <w:r>
        <w:rPr>
          <w:rFonts w:hint="default" w:ascii="Times New Roman" w:hAnsi="Times New Roman" w:eastAsia="仿宋_GB2312" w:cs="Times New Roman"/>
          <w:color w:val="auto"/>
          <w:sz w:val="32"/>
          <w:szCs w:val="32"/>
        </w:rPr>
        <w:t>“核心研发+高端制造+服务体验”协同布局</w:t>
      </w:r>
      <w:r>
        <w:rPr>
          <w:rFonts w:hint="default" w:ascii="Times New Roman" w:hAnsi="Times New Roman" w:eastAsia="仿宋_GB2312" w:cs="Times New Roman"/>
          <w:sz w:val="32"/>
          <w:szCs w:val="32"/>
        </w:rPr>
        <w:t>。以小核酸及生物医药产业园为主要载体，完善从新药开发、临床前研究到临床研究及产业化的全产业链条，重点发展针对肿瘤、免疫系统疾病等重大疾病的靶向治疗创新药物。推进昆山医疗器械高新技术产业园建设，发展医学植介入材料、高值医用耗材，布局大型医学诊断设备、放疗设备、高端智能康复器材等，加快建设医学影像、治疗设备、智慧医疗等方向的研发孵化与生产服务基地，争取纳入长三角医疗器械注册人制度试点，实现“上海研发注册、昆山生产转化”。</w:t>
      </w:r>
    </w:p>
    <w:p w14:paraId="6DEFB36B">
      <w:pPr>
        <w:keepNext w:val="0"/>
        <w:keepLines w:val="0"/>
        <w:pageBreakBefore w:val="0"/>
        <w:widowControl w:val="0"/>
        <w:kinsoku/>
        <w:wordWrap/>
        <w:topLinePunct w:val="0"/>
        <w:autoSpaceDE/>
        <w:autoSpaceDN/>
        <w:bidi w:val="0"/>
        <w:snapToGrid/>
        <w:spacing w:after="0"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 w:cs="Times New Roman"/>
          <w:b w:val="0"/>
          <w:bCs w:val="0"/>
          <w:kern w:val="2"/>
          <w:sz w:val="32"/>
          <w:szCs w:val="32"/>
        </w:rPr>
        <w:t>积极发展绿色低碳。</w:t>
      </w:r>
      <w:r>
        <w:rPr>
          <w:rFonts w:hint="default" w:ascii="Times New Roman" w:hAnsi="Times New Roman" w:eastAsia="仿宋_GB2312" w:cs="Times New Roman"/>
          <w:b w:val="0"/>
          <w:bCs w:val="0"/>
          <w:kern w:val="2"/>
          <w:sz w:val="32"/>
          <w:szCs w:val="32"/>
        </w:rPr>
        <w:t>高水平建设长三角（昆山）国际低碳产业创新园区，形成“一核引领、多片支撑、多点示范”的绿色低碳产业布局。集聚发展新能源产业，强化绿色低碳龙头项目招引，争取在新型光伏、储能及动力电池、智能电网等细分领域获得重大突破。培育发展绿色低碳服务，建立面向全国的综合能碳产品和服务交易平台，搭建面向能源领域特定需求的人工智能模型，培育项目规划设计、产品检测认证、节能服务、碳咨询管理等细分赛道。推动新能源企业在昆设立应用研究中心，布局碳达峰碳中和科技专项，支持零碳/负碳技术、新型储能等方向研发与示范。深化光储充一体化、智能微电网、虚拟电厂、绿色建筑等场景应用，推动新锐企业加速集聚和产业化。</w:t>
      </w:r>
    </w:p>
    <w:p w14:paraId="48A56E52">
      <w:pPr>
        <w:keepNext w:val="0"/>
        <w:keepLines w:val="0"/>
        <w:pageBreakBefore w:val="0"/>
        <w:widowControl w:val="0"/>
        <w:kinsoku/>
        <w:wordWrap/>
        <w:overflowPunct w:val="0"/>
        <w:topLinePunct w:val="0"/>
        <w:autoSpaceDE/>
        <w:autoSpaceDN/>
        <w:bidi w:val="0"/>
        <w:adjustRightInd w:val="0"/>
        <w:snapToGrid/>
        <w:spacing w:after="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前瞻布局未来产业。</w:t>
      </w:r>
      <w:r>
        <w:rPr>
          <w:rFonts w:hint="default" w:ascii="Times New Roman" w:hAnsi="Times New Roman" w:eastAsia="仿宋_GB2312" w:cs="Times New Roman"/>
          <w:b w:val="0"/>
          <w:bCs w:val="0"/>
          <w:sz w:val="32"/>
          <w:szCs w:val="32"/>
        </w:rPr>
        <w:t>围绕下一代移动通信，</w:t>
      </w:r>
      <w:r>
        <w:rPr>
          <w:rFonts w:hint="default" w:ascii="Times New Roman" w:hAnsi="Times New Roman" w:eastAsia="仿宋_GB2312" w:cs="Times New Roman"/>
          <w:sz w:val="32"/>
          <w:szCs w:val="32"/>
        </w:rPr>
        <w:t>紧密跟踪太赫兹通信、毫米波通信、通感一体、星地融合等前沿技术方向，</w:t>
      </w:r>
      <w:r>
        <w:rPr>
          <w:rFonts w:hint="default" w:ascii="Times New Roman" w:hAnsi="Times New Roman" w:eastAsia="仿宋_GB2312" w:cs="Times New Roman"/>
          <w:color w:val="auto"/>
          <w:sz w:val="32"/>
          <w:szCs w:val="32"/>
        </w:rPr>
        <w:t>重点招引低空通信管控、卫星互联网终端制造等领域企业</w:t>
      </w:r>
      <w:r>
        <w:rPr>
          <w:rFonts w:hint="default" w:ascii="Times New Roman" w:hAnsi="Times New Roman" w:eastAsia="仿宋_GB2312" w:cs="Times New Roman"/>
          <w:sz w:val="32"/>
          <w:szCs w:val="32"/>
        </w:rPr>
        <w:t>，探索发展射频器件、高速光模块、智能基站设备等关键产品。</w:t>
      </w:r>
      <w:r>
        <w:rPr>
          <w:rFonts w:hint="default" w:ascii="Times New Roman" w:hAnsi="Times New Roman" w:eastAsia="仿宋_GB2312" w:cs="Times New Roman"/>
          <w:b w:val="0"/>
          <w:bCs w:val="0"/>
          <w:sz w:val="32"/>
          <w:szCs w:val="32"/>
        </w:rPr>
        <w:t>围绕商业航天，</w:t>
      </w:r>
      <w:r>
        <w:rPr>
          <w:rFonts w:hint="default" w:ascii="Times New Roman" w:hAnsi="Times New Roman" w:eastAsia="仿宋_GB2312" w:cs="Times New Roman"/>
          <w:sz w:val="32"/>
          <w:szCs w:val="32"/>
        </w:rPr>
        <w:t>加快布局</w:t>
      </w:r>
      <w:r>
        <w:rPr>
          <w:rFonts w:hint="default" w:ascii="Times New Roman" w:hAnsi="Times New Roman" w:eastAsia="仿宋_GB2312" w:cs="Times New Roman"/>
          <w:color w:val="auto"/>
          <w:sz w:val="32"/>
          <w:szCs w:val="32"/>
        </w:rPr>
        <w:t>卫星应用终端、地面配套设备、空天地一体化</w:t>
      </w:r>
      <w:r>
        <w:rPr>
          <w:rFonts w:hint="default" w:ascii="Times New Roman" w:hAnsi="Times New Roman" w:eastAsia="仿宋_GB2312" w:cs="Times New Roman"/>
          <w:sz w:val="32"/>
          <w:szCs w:val="32"/>
        </w:rPr>
        <w:t>等细分赛道，融入国产大飞机、商业航天等配套产业链；深化“天格计划”平台合作，推动卫星数据与低空服务融合应用，完善测试认证、数据服务等公共平台。</w:t>
      </w:r>
      <w:r>
        <w:rPr>
          <w:rFonts w:hint="default" w:ascii="Times New Roman" w:hAnsi="Times New Roman" w:eastAsia="仿宋_GB2312" w:cs="Times New Roman"/>
          <w:b w:val="0"/>
          <w:bCs w:val="0"/>
          <w:sz w:val="32"/>
          <w:szCs w:val="32"/>
        </w:rPr>
        <w:t>围绕群体智能，</w:t>
      </w:r>
      <w:r>
        <w:rPr>
          <w:rFonts w:hint="default" w:ascii="Times New Roman" w:hAnsi="Times New Roman" w:eastAsia="仿宋_GB2312" w:cs="Times New Roman"/>
          <w:sz w:val="32"/>
          <w:szCs w:val="32"/>
        </w:rPr>
        <w:t>加强关键芯片、控制系统、整机等细分领域精准招引，突破群体智能核心算法，重点布局多智能体协同决策、群智演化计算等前沿方向，支持企业联合高校院所开展从规则驱动到学习赋能的算法攻关。</w:t>
      </w:r>
      <w:r>
        <w:rPr>
          <w:rFonts w:hint="default" w:ascii="Times New Roman" w:hAnsi="Times New Roman" w:eastAsia="仿宋_GB2312" w:cs="Times New Roman"/>
          <w:b w:val="0"/>
          <w:bCs w:val="0"/>
          <w:sz w:val="32"/>
          <w:szCs w:val="32"/>
        </w:rPr>
        <w:t>围绕细胞和基因技术，加快布局异种移植、细胞治疗、</w:t>
      </w:r>
      <w:r>
        <w:rPr>
          <w:rFonts w:hint="default" w:ascii="Times New Roman" w:hAnsi="Times New Roman" w:eastAsia="仿宋_GB2312" w:cs="Times New Roman"/>
          <w:sz w:val="32"/>
          <w:szCs w:val="32"/>
        </w:rPr>
        <w:t>基因</w:t>
      </w:r>
      <w:r>
        <w:rPr>
          <w:rFonts w:hint="default" w:ascii="Times New Roman" w:hAnsi="Times New Roman" w:eastAsia="仿宋_GB2312" w:cs="Times New Roman"/>
          <w:b w:val="0"/>
          <w:bCs w:val="0"/>
          <w:sz w:val="32"/>
          <w:szCs w:val="32"/>
        </w:rPr>
        <w:t>编辑等前沿赛道，</w:t>
      </w:r>
      <w:r>
        <w:rPr>
          <w:rFonts w:hint="default" w:ascii="Times New Roman" w:hAnsi="Times New Roman" w:eastAsia="仿宋_GB2312" w:cs="Times New Roman"/>
          <w:sz w:val="32"/>
          <w:szCs w:val="32"/>
        </w:rPr>
        <w:t>在重大项目落地、创新平台建设、研发支持、人才引育、外资赋能等方面完善政策体系，支持创新药研发和MAH委托生产，鼓励人工智能技术赋能药物发现。</w:t>
      </w:r>
      <w:r>
        <w:rPr>
          <w:rFonts w:hint="default" w:ascii="Times New Roman" w:hAnsi="Times New Roman" w:eastAsia="仿宋_GB2312" w:cs="Times New Roman"/>
          <w:b w:val="0"/>
          <w:bCs w:val="0"/>
          <w:sz w:val="32"/>
          <w:szCs w:val="32"/>
        </w:rPr>
        <w:t>围绕新型储能，聚焦新一代化学电池技术，发展储能及动力电池相关关键材料，重点关注与之匹配的高性能正负极材料、耐高温低电阻隔膜及高导电率电解液等产业链重点环节</w:t>
      </w:r>
      <w:r>
        <w:rPr>
          <w:rFonts w:hint="default" w:ascii="Times New Roman" w:hAnsi="Times New Roman" w:eastAsia="仿宋_GB2312" w:cs="Times New Roman"/>
          <w:sz w:val="32"/>
          <w:szCs w:val="32"/>
        </w:rPr>
        <w:t>。积极引进长时储能设备研发制造项目，支持企业提升钙钛矿电池效率和稳定性。</w:t>
      </w:r>
    </w:p>
    <w:p w14:paraId="5BE758FC">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336" w:name="_Toc10990"/>
      <w:bookmarkStart w:id="337" w:name="_Toc31726"/>
      <w:bookmarkStart w:id="338" w:name="_Toc8747"/>
      <w:bookmarkStart w:id="339" w:name="_Toc19527"/>
      <w:bookmarkStart w:id="340" w:name="_Toc8784"/>
      <w:bookmarkStart w:id="341" w:name="_Toc6098"/>
      <w:bookmarkStart w:id="342" w:name="_Toc26074"/>
      <w:bookmarkStart w:id="343" w:name="_Toc30164"/>
      <w:bookmarkStart w:id="344" w:name="_Toc3768"/>
      <w:bookmarkStart w:id="345" w:name="_Toc22730"/>
      <w:bookmarkStart w:id="346" w:name="_Toc6739"/>
      <w:bookmarkStart w:id="347" w:name="_Toc218010915"/>
      <w:bookmarkStart w:id="348" w:name="_Toc11425"/>
      <w:bookmarkStart w:id="349" w:name="_Toc24203"/>
      <w:bookmarkStart w:id="350" w:name="_Toc1092"/>
      <w:bookmarkStart w:id="351" w:name="_Toc19101"/>
      <w:bookmarkStart w:id="352" w:name="_Toc14600"/>
      <w:bookmarkStart w:id="353" w:name="_Toc14630"/>
      <w:bookmarkStart w:id="354" w:name="_Toc24902"/>
      <w:bookmarkStart w:id="355" w:name="_Toc21226"/>
      <w:bookmarkStart w:id="356" w:name="_Toc19685"/>
      <w:r>
        <w:rPr>
          <w:rFonts w:hint="default" w:ascii="Times New Roman" w:hAnsi="Times New Roman" w:eastAsia="楷体" w:cs="Times New Roman"/>
          <w:sz w:val="32"/>
          <w:szCs w:val="32"/>
        </w:rPr>
        <w:t>第四节 优质高效发展生产性服务业</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14:paraId="3596550E">
      <w:pPr>
        <w:overflowPunct w:val="0"/>
        <w:adjustRightInd w:val="0"/>
        <w:spacing w:after="0" w:line="600" w:lineRule="exact"/>
        <w:ind w:firstLine="640" w:firstLineChars="200"/>
        <w:jc w:val="both"/>
        <w:rPr>
          <w:rFonts w:hint="default" w:ascii="Times New Roman" w:hAnsi="Times New Roman" w:eastAsia="仿宋_GB2312" w:cs="Times New Roman"/>
          <w:kern w:val="44"/>
          <w:sz w:val="32"/>
          <w:szCs w:val="32"/>
        </w:rPr>
      </w:pPr>
      <w:r>
        <w:rPr>
          <w:rFonts w:hint="default" w:ascii="Times New Roman" w:hAnsi="Times New Roman" w:eastAsia="楷体" w:cs="Times New Roman"/>
          <w:sz w:val="32"/>
          <w:szCs w:val="32"/>
        </w:rPr>
        <w:t>创新发展研发设计。</w:t>
      </w:r>
      <w:r>
        <w:rPr>
          <w:rFonts w:hint="default" w:ascii="Times New Roman" w:hAnsi="Times New Roman" w:eastAsia="仿宋_GB2312" w:cs="Times New Roman"/>
          <w:kern w:val="44"/>
          <w:sz w:val="32"/>
          <w:szCs w:val="32"/>
        </w:rPr>
        <w:t>紧密结合</w:t>
      </w:r>
      <w:r>
        <w:rPr>
          <w:rFonts w:hint="default" w:ascii="Times New Roman" w:hAnsi="Times New Roman" w:eastAsia="仿宋_GB2312" w:cs="Times New Roman"/>
          <w:kern w:val="44"/>
          <w:sz w:val="32"/>
          <w:szCs w:val="32"/>
          <w:lang w:eastAsia="zh-CN"/>
        </w:rPr>
        <w:t>“</w:t>
      </w:r>
      <w:r>
        <w:rPr>
          <w:rFonts w:hint="default" w:ascii="Times New Roman" w:hAnsi="Times New Roman" w:eastAsia="仿宋_GB2312" w:cs="Times New Roman"/>
          <w:kern w:val="44"/>
          <w:sz w:val="32"/>
          <w:szCs w:val="32"/>
          <w:lang w:val="en-US" w:eastAsia="zh-CN"/>
        </w:rPr>
        <w:t>1+</w:t>
      </w:r>
      <w:r>
        <w:rPr>
          <w:rFonts w:hint="default" w:ascii="Times New Roman" w:hAnsi="Times New Roman" w:eastAsia="仿宋_GB2312" w:cs="Times New Roman"/>
          <w:kern w:val="44"/>
          <w:sz w:val="32"/>
          <w:szCs w:val="32"/>
          <w:lang w:val="en-US" w:eastAsia="zh-CN"/>
        </w:rPr>
        <w:t>2345</w:t>
      </w:r>
      <w:r>
        <w:rPr>
          <w:rFonts w:hint="default" w:ascii="Times New Roman" w:hAnsi="Times New Roman" w:eastAsia="仿宋_GB2312" w:cs="Times New Roman"/>
          <w:kern w:val="44"/>
          <w:sz w:val="32"/>
          <w:szCs w:val="32"/>
          <w:lang w:eastAsia="zh-CN"/>
        </w:rPr>
        <w:t>”</w:t>
      </w:r>
      <w:r>
        <w:rPr>
          <w:rFonts w:hint="default" w:ascii="Times New Roman" w:hAnsi="Times New Roman" w:eastAsia="仿宋_GB2312" w:cs="Times New Roman"/>
          <w:kern w:val="44"/>
          <w:sz w:val="32"/>
          <w:szCs w:val="32"/>
          <w:lang w:val="en-US" w:eastAsia="zh-CN"/>
        </w:rPr>
        <w:t>现代化产业体系</w:t>
      </w:r>
      <w:r>
        <w:rPr>
          <w:rFonts w:hint="default" w:ascii="Times New Roman" w:hAnsi="Times New Roman" w:eastAsia="仿宋_GB2312" w:cs="Times New Roman"/>
          <w:kern w:val="44"/>
          <w:sz w:val="32"/>
          <w:szCs w:val="32"/>
        </w:rPr>
        <w:t>方向，以昆山开发区、昆山高新区和花桥经济开发区为主体，积极培育市场化新型研发组织、研发中介和研发服务外包等新业态。引导研发企业与制造企业紧密合作，提供需求分析、创新试验、原型开发等服务，开展定制化研发、嵌入式研发。鼓励发展工业设计，推动工业设计与人工智能等数智技术相结合，力争在人工智能设计、虚拟仿真、CMF设计、感性意象设计、设计验证、设计工具等方面取得创新性突破。健全完善工业设计公共服务体系，争创一批国家级、省级工业设计中心，打造若干具有生态主导力的工业设计服务平台。</w:t>
      </w:r>
    </w:p>
    <w:p w14:paraId="4271A7F9">
      <w:pPr>
        <w:widowControl/>
        <w:overflowPunct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做专做精检验检测。</w:t>
      </w:r>
      <w:r>
        <w:rPr>
          <w:rFonts w:hint="default" w:ascii="Times New Roman" w:hAnsi="Times New Roman" w:eastAsia="仿宋_GB2312" w:cs="Times New Roman"/>
          <w:sz w:val="32"/>
          <w:szCs w:val="32"/>
        </w:rPr>
        <w:t>发挥“苏检通”江苏省检验检测监管服务平台作用，支持光电显示、生物医药、高端装备、新能源汽车、绿色低碳等新兴检验检测服务做大规模，巩固发展设计开发、生产制造、安全监管、售后服务等领域第三方检验检测服务，打造长三角检验检测服务高地。加强机器视觉、边缘计算、人工智能等技术应用，支持研发AI检验检测系统。鼓励有条件的制造业企业分离发展检验检测业务，整合高校院所、企业内部实验室及产业链上下游等资源，</w:t>
      </w:r>
      <w:r>
        <w:rPr>
          <w:rFonts w:hint="default" w:ascii="Times New Roman" w:hAnsi="Times New Roman" w:eastAsia="仿宋_GB2312" w:cs="Times New Roman"/>
          <w:sz w:val="32"/>
          <w:szCs w:val="32"/>
          <w:lang w:bidi="ar"/>
        </w:rPr>
        <w:t>建设相关领域检验检测机构，引导申请中国合格评定国家认可委员会CNAS资质认证，支持参与国际检验检测标准制定。</w:t>
      </w:r>
    </w:p>
    <w:p w14:paraId="1D87990D">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乘势引育数智服务</w:t>
      </w:r>
      <w:r>
        <w:rPr>
          <w:rFonts w:hint="default" w:ascii="Times New Roman" w:hAnsi="Times New Roman" w:eastAsia="仿宋_GB2312" w:cs="Times New Roman"/>
          <w:sz w:val="32"/>
          <w:szCs w:val="32"/>
        </w:rPr>
        <w:t>。依托HPE昆山国际数字创新谷、昆山软件园、花桥数字经济产业园等载体，引育一批AI服务商、算力服务商，对接三大运营商、长三角算力运营商，提供普惠泛在的智能算力服务。吸引国内大模型头部企业在昆布局垂直模型，聚焦制造业领域，建设集物资采购、需求预测、自动排产、库存动态管理等功能于一体的数智化管理平台，实现生产制造标准化、智能化。加快发展以工业软件、行业应用软件为重点的高端软件产业，大力引进细分领域市场占有率高的品牌软件设计企业，发布推广一批优秀工业软件产品和应用解决方案、首版次软件产品。</w:t>
      </w:r>
    </w:p>
    <w:p w14:paraId="4A9C8CAA">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集聚发展高端物贸。</w:t>
      </w:r>
      <w:r>
        <w:rPr>
          <w:rFonts w:hint="default" w:ascii="Times New Roman" w:hAnsi="Times New Roman" w:eastAsia="仿宋_GB2312" w:cs="Times New Roman"/>
          <w:sz w:val="32"/>
          <w:szCs w:val="32"/>
        </w:rPr>
        <w:t>构建高效现代物贸网络，以陆家浜国际物流综合枢纽、长三角国际空港物流中心为关键抓手，打造昆山国际物流枢纽通道，支持企业建设海外仓、海外运营中心，加快“物流通道”向“物贸基地”转型。发挥昆山综保区贸易便利化优势，鼓励国内外知名供应链管理企业中国总部、区域总部进驻，加强对物贸结算、采购分拨、品牌营销、供应链金融等高端环节招引，力争更多物贸企业落地昆山。培育具有昆山特色的工业品贸易中心，依托快消品和电子消费品龙头企业，引育一批物贸一体化服务企业，加快打造大宗商品现货交易中心、电子元器件物流分拨中心、智能终端销售服务中心。</w:t>
      </w:r>
    </w:p>
    <w:p w14:paraId="588F7CBB">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提质扩容现代金融。</w:t>
      </w:r>
      <w:r>
        <w:rPr>
          <w:rFonts w:hint="default" w:ascii="Times New Roman" w:hAnsi="Times New Roman" w:eastAsia="仿宋_GB2312" w:cs="Times New Roman"/>
          <w:sz w:val="32"/>
          <w:szCs w:val="32"/>
        </w:rPr>
        <w:t>发挥昆山市金融支持深化两岸产业合作改革创新试验区平台优势，探索申设两岸合资公募基金等法人金融机构，鼓励符合条件的境内外金融机构在昆设立分支机构，引导现有金融机构设立科创金融事业部、跨境金融服务中心等专营机构。支持符合条件的金融分支机构升格，在金融创新、授信审批等方面争取更多权限。支持消费金融等新业态发展。促进融资租赁、保理等地方金融组织规范发展。完善供应链金融和产业链生态，鼓励金融机构为产业链提供结算、融资和财务管理等系统化综合解决方案。支持金融机构创新绿色信贷产品，探索设立绿色基金。引育与金融业务密切相关的会计师事务所、律师事务所、资产评估等中介机构，提升专业服务能力。</w:t>
      </w:r>
    </w:p>
    <w:p w14:paraId="54E4F377">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357" w:name="_Toc2394"/>
      <w:bookmarkStart w:id="358" w:name="_Toc6761"/>
      <w:bookmarkStart w:id="359" w:name="_Toc3029"/>
      <w:bookmarkStart w:id="360" w:name="_Toc14577"/>
      <w:bookmarkStart w:id="361" w:name="_Toc26948"/>
      <w:bookmarkStart w:id="362" w:name="_Toc6071"/>
      <w:bookmarkStart w:id="363" w:name="_Toc5790"/>
      <w:bookmarkStart w:id="364" w:name="_Toc28298"/>
      <w:bookmarkStart w:id="365" w:name="_Toc22368"/>
      <w:bookmarkStart w:id="366" w:name="_Toc19225"/>
      <w:bookmarkStart w:id="367" w:name="_Toc18026"/>
      <w:bookmarkStart w:id="368" w:name="_Toc3441"/>
      <w:bookmarkStart w:id="369" w:name="_Toc436"/>
      <w:bookmarkStart w:id="370" w:name="_Toc18729"/>
      <w:bookmarkStart w:id="371" w:name="_Toc2989"/>
      <w:bookmarkStart w:id="372" w:name="_Toc26495"/>
      <w:bookmarkStart w:id="373" w:name="_Toc218010916"/>
      <w:bookmarkStart w:id="374" w:name="_Toc7362"/>
      <w:bookmarkStart w:id="375" w:name="_Toc15876"/>
      <w:bookmarkStart w:id="376" w:name="_Toc2492"/>
      <w:bookmarkStart w:id="377" w:name="_Toc30090"/>
      <w:r>
        <w:rPr>
          <w:rFonts w:hint="default" w:ascii="Times New Roman" w:hAnsi="Times New Roman" w:eastAsia="楷体" w:cs="Times New Roman"/>
          <w:sz w:val="32"/>
          <w:szCs w:val="32"/>
        </w:rPr>
        <w:t>第五节 一体化发展文体旅</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Fonts w:hint="default" w:ascii="Times New Roman" w:hAnsi="Times New Roman" w:eastAsia="楷体" w:cs="Times New Roman"/>
          <w:sz w:val="32"/>
          <w:szCs w:val="32"/>
        </w:rPr>
        <w:t>服务业</w:t>
      </w:r>
      <w:bookmarkEnd w:id="371"/>
      <w:bookmarkEnd w:id="372"/>
      <w:bookmarkEnd w:id="373"/>
      <w:bookmarkEnd w:id="374"/>
      <w:bookmarkEnd w:id="375"/>
      <w:bookmarkEnd w:id="376"/>
      <w:bookmarkEnd w:id="377"/>
    </w:p>
    <w:p w14:paraId="68D1A471">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数字赋能文化产业</w:t>
      </w:r>
      <w:r>
        <w:rPr>
          <w:rFonts w:hint="default" w:ascii="Times New Roman" w:hAnsi="Times New Roman" w:eastAsia="仿宋_GB2312" w:cs="Times New Roman"/>
          <w:sz w:val="32"/>
          <w:szCs w:val="32"/>
        </w:rPr>
        <w:t>。加快构建数字化引领的现代文化产业体系，依托数字文化影视产业园、两岸数字文娱产业园等载体，引育文化创意、网络视听、数字文化等领域头部企业，延伸智慧文旅等产业链条，推动文化新业态持续涌现，打造文化创意产业高地。深入推进影视（微短剧）“六个一”行动计划，打造影视及网络视听产品一体化平台，构建集“投资、创作、拍摄、宣发及IP衍生转化”为一体的微短剧产业集群，建设微短剧亚太传播中心。做强晨风时尚创意产业园、两岸好物馆等创意载体。支持文博场馆、景区、街区打造沉浸式体验空间，推出一批文旅新产品新场景。</w:t>
      </w:r>
    </w:p>
    <w:p w14:paraId="7A6BCE7E">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沉浸发展全域旅游。</w:t>
      </w:r>
      <w:r>
        <w:rPr>
          <w:rFonts w:hint="default" w:ascii="Times New Roman" w:hAnsi="Times New Roman" w:eastAsia="仿宋_GB2312" w:cs="Times New Roman"/>
          <w:sz w:val="32"/>
          <w:szCs w:val="32"/>
        </w:rPr>
        <w:t>以“江南文化”为特色，实施“文化解码、业态创新、空间重构、品牌提升”战略，推动旅游从景点观光向全域沉浸、从资源依赖向创新驱动转变。培育“文旅+”融合业态，创新发展乡村旅游、研学旅游、工业旅游等特色业态，培育发展民宿经济、村咖文化，强化文旅与会展经济、夜间经济、首店经济等业态联动，做大“微度假”，塑造“大城市资源、小城镇体验”独特魅力。以周庄、锦溪、千灯等古镇为“文化核”，阳澄湖、淀山湖等为“生态核”，加强传统历史文化挖掘和活化利用，吸引知名文旅企业开发文化主题酒店、户外露营基地、沉浸式演艺空间等新业态产品，实现“生态颜值”向“旅游价值”转化。</w:t>
      </w:r>
    </w:p>
    <w:p w14:paraId="68AD67FC">
      <w:pPr>
        <w:widowControl/>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多元拓展体育产业</w:t>
      </w:r>
      <w:r>
        <w:rPr>
          <w:rFonts w:hint="default" w:ascii="Times New Roman" w:hAnsi="Times New Roman" w:eastAsia="仿宋_GB2312" w:cs="Times New Roman"/>
          <w:sz w:val="32"/>
          <w:szCs w:val="32"/>
        </w:rPr>
        <w:t>。加快发展赛事经济，丰富高品质赛事供给，引进培育腰旗橄榄球、匹克球等新兴体育赛事，办好徒步、骑行等群众体育活动。拓展赛事消费场景，推进体育赛事进景区、进公园、进街区、进商圈，延伸打造集观赛、美食、市集、互动娱乐于一体的“第二现场”。放大票根经济效应，深化“跟着赛事去旅行”。争创具有两岸特色的高质量户外运动目的地，布局环湖骑行道、水上运动中心、滨水健身步道，大力发展皮划艇、帆船帆板等户外运动项目。鼓励体育制造企业开发中高端产品，打造自行车、跑步机、运动服饰等体育装备特色产业集群。加快培育一批专业体育赛事运营商，构建赛事策划、项目设计、营销推广、运营维护、衍生产品创意设计开发一体化的产业生态链。</w:t>
      </w:r>
      <w:bookmarkStart w:id="378" w:name="_Toc22563"/>
      <w:bookmarkStart w:id="379" w:name="_Toc9254"/>
      <w:bookmarkStart w:id="380" w:name="_Toc15778"/>
      <w:bookmarkStart w:id="381" w:name="_Toc14920"/>
      <w:bookmarkStart w:id="382" w:name="_Toc13778"/>
      <w:bookmarkStart w:id="383" w:name="_Toc11070"/>
      <w:bookmarkStart w:id="384" w:name="_Toc9577"/>
      <w:bookmarkStart w:id="385" w:name="_Toc31061"/>
      <w:bookmarkStart w:id="386" w:name="_Toc31400"/>
      <w:bookmarkStart w:id="387" w:name="_Toc24343"/>
      <w:bookmarkStart w:id="388" w:name="_Toc22352"/>
      <w:bookmarkStart w:id="389" w:name="_Toc466"/>
      <w:bookmarkStart w:id="390" w:name="_Toc30962"/>
      <w:bookmarkStart w:id="391" w:name="_Toc8632"/>
    </w:p>
    <w:p w14:paraId="316DC361">
      <w:pPr>
        <w:overflowPunct w:val="0"/>
        <w:adjustRightInd w:val="0"/>
        <w:spacing w:before="156" w:beforeLines="50" w:after="156" w:afterLines="50" w:line="600" w:lineRule="exact"/>
        <w:jc w:val="center"/>
        <w:outlineLvl w:val="1"/>
        <w:rPr>
          <w:rFonts w:hint="default" w:ascii="Times New Roman" w:hAnsi="Times New Roman" w:eastAsia="黑体" w:cs="Times New Roman"/>
          <w:sz w:val="32"/>
          <w:szCs w:val="32"/>
        </w:rPr>
      </w:pPr>
      <w:bookmarkStart w:id="392" w:name="_Toc21613"/>
      <w:bookmarkStart w:id="393" w:name="_Toc1591"/>
      <w:bookmarkStart w:id="394" w:name="_Toc24552"/>
      <w:bookmarkStart w:id="395" w:name="_Toc1416"/>
      <w:bookmarkStart w:id="396" w:name="_Toc218010917"/>
      <w:bookmarkStart w:id="397" w:name="_Toc29788"/>
      <w:bookmarkStart w:id="398" w:name="_Toc20652"/>
      <w:r>
        <w:rPr>
          <w:rFonts w:hint="default" w:ascii="Times New Roman" w:hAnsi="Times New Roman" w:eastAsia="黑体" w:cs="Times New Roman"/>
          <w:sz w:val="32"/>
          <w:szCs w:val="32"/>
        </w:rPr>
        <w:t>第四章 建设产创融合的高水平创新型城市</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14:paraId="7B4D6039">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面实施科技创新“八大工程”，完善以企业为主体的创新体系，加快推动创新链、产业链、资金链、人才链深度融合，因地制宜加快发展新质生产力，全力建设科技创新和产业创新深度融合的高水平创新型城市。</w:t>
      </w:r>
    </w:p>
    <w:p w14:paraId="4708E6AD">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399" w:name="_Toc218010918"/>
      <w:bookmarkStart w:id="400" w:name="_Toc23195"/>
      <w:bookmarkStart w:id="401" w:name="_Toc14005"/>
      <w:bookmarkStart w:id="402" w:name="_Toc14560"/>
      <w:bookmarkStart w:id="403" w:name="_Toc19544"/>
      <w:bookmarkStart w:id="404" w:name="_Toc23949"/>
      <w:bookmarkStart w:id="405" w:name="_Toc31562"/>
      <w:bookmarkStart w:id="406" w:name="_Toc25714"/>
      <w:bookmarkStart w:id="407" w:name="_Toc20367"/>
      <w:bookmarkStart w:id="408" w:name="_Toc8891"/>
      <w:bookmarkStart w:id="409" w:name="_Toc7517"/>
      <w:bookmarkStart w:id="410" w:name="_Toc15943"/>
      <w:bookmarkStart w:id="411" w:name="_Toc2091"/>
      <w:bookmarkStart w:id="412" w:name="_Toc27863"/>
      <w:bookmarkStart w:id="413" w:name="_Toc10728"/>
      <w:bookmarkStart w:id="414" w:name="_Toc15085"/>
      <w:bookmarkStart w:id="415" w:name="_Toc572"/>
      <w:bookmarkStart w:id="416" w:name="_Toc16008"/>
      <w:bookmarkStart w:id="417" w:name="_Toc25476"/>
      <w:bookmarkStart w:id="418" w:name="_Toc30385"/>
      <w:bookmarkStart w:id="419" w:name="_Toc13922"/>
      <w:r>
        <w:rPr>
          <w:rFonts w:hint="default" w:ascii="Times New Roman" w:hAnsi="Times New Roman" w:eastAsia="楷体" w:cs="Times New Roman"/>
          <w:sz w:val="32"/>
          <w:szCs w:val="32"/>
        </w:rPr>
        <w:t>第一节 实施“两湖”科创战略布局</w:t>
      </w:r>
      <w:bookmarkEnd w:id="399"/>
      <w:bookmarkEnd w:id="400"/>
      <w:bookmarkEnd w:id="401"/>
      <w:bookmarkEnd w:id="402"/>
      <w:bookmarkEnd w:id="403"/>
      <w:bookmarkEnd w:id="404"/>
      <w:bookmarkEnd w:id="405"/>
      <w:bookmarkEnd w:id="406"/>
      <w:bookmarkEnd w:id="407"/>
      <w:bookmarkEnd w:id="408"/>
      <w:bookmarkEnd w:id="409"/>
    </w:p>
    <w:bookmarkEnd w:id="410"/>
    <w:bookmarkEnd w:id="411"/>
    <w:bookmarkEnd w:id="412"/>
    <w:bookmarkEnd w:id="413"/>
    <w:bookmarkEnd w:id="414"/>
    <w:bookmarkEnd w:id="415"/>
    <w:bookmarkEnd w:id="416"/>
    <w:bookmarkEnd w:id="417"/>
    <w:bookmarkEnd w:id="418"/>
    <w:bookmarkEnd w:id="419"/>
    <w:p w14:paraId="4D1237DF">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构筑阳澄湖临沪科创区。</w:t>
      </w:r>
      <w:r>
        <w:rPr>
          <w:rFonts w:hint="default" w:ascii="Times New Roman" w:hAnsi="Times New Roman" w:eastAsia="仿宋_GB2312" w:cs="Times New Roman"/>
          <w:sz w:val="32"/>
          <w:szCs w:val="32"/>
        </w:rPr>
        <w:t>发挥京沪高铁、双11号线等快速通达和重大创新平台集聚优势，全面融入上海（长三角）国际科创中心建设，以昆山开发区和昆山高新区为主体，加强与张江、浦江、临港等国家实验室对接合作，以重大设施、重大平台为核心，构建阳澄湖临沪科创区“四梁八柱</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深入推动深时数字地球（DDE）国际大科学计划，优化重大科技基础设施布局，依托昆山工业技术研究院、南淞湖人工智能产业园等重大载体，开展高水平科研和国际科技合作。加快维信诺全球新型显示产业创新中心、清陶固态锂电池创新中心、国家自主软硬件协同计算技术创新中心、沪士研发中心、钙钛矿光伏创新中心等企业重大创新平台、重点实验室落地建设，深化重大技术攻关、核心部件国产替代和新产品开发，形成科研设施引领、链主企业主导、专精特新和高新技术企业协同、全产业链支撑的创新生态，打造在长三角地区有较大影响力的产业科技创新中心。</w:t>
      </w:r>
    </w:p>
    <w:p w14:paraId="1DF1417E">
      <w:pPr>
        <w:overflowPunct w:val="0"/>
        <w:adjustRightInd w:val="0"/>
        <w:spacing w:after="0" w:line="600" w:lineRule="exact"/>
        <w:ind w:firstLine="640" w:firstLineChars="200"/>
        <w:jc w:val="left"/>
        <w:rPr>
          <w:rFonts w:hint="default" w:ascii="Times New Roman" w:hAnsi="Times New Roman" w:eastAsia="楷体" w:cs="Times New Roman"/>
          <w:sz w:val="32"/>
          <w:szCs w:val="32"/>
        </w:rPr>
      </w:pPr>
      <w:r>
        <w:rPr>
          <w:rFonts w:hint="default" w:ascii="Times New Roman" w:hAnsi="Times New Roman" w:eastAsia="楷体" w:cs="Times New Roman"/>
          <w:sz w:val="32"/>
          <w:szCs w:val="32"/>
        </w:rPr>
        <w:t>构筑环淀山湖科创湖区。</w:t>
      </w:r>
      <w:r>
        <w:rPr>
          <w:rFonts w:hint="default" w:ascii="Times New Roman" w:hAnsi="Times New Roman" w:eastAsia="仿宋_GB2312" w:cs="Times New Roman"/>
          <w:sz w:val="32"/>
          <w:szCs w:val="32"/>
        </w:rPr>
        <w:t>发挥淀山湖北岸交通区位、生态人文优势，以对接华为练秋湖研发中心辐射外溢为最大机遇，以锦溪镇、淀山湖镇为主体，以锦绣客厅·立讯科学园为产业支撑，构建南北联动的环淀山湖创新共同体。加快建设科创孵化器、概念验证中心、中试平台，吸引练秋湖研发中心内部孵化企业、关联初创企业、二次创业企业、数字游民</w:t>
      </w:r>
      <w:bookmarkStart w:id="420" w:name="_Toc20277"/>
      <w:r>
        <w:rPr>
          <w:rFonts w:hint="default" w:ascii="Times New Roman" w:hAnsi="Times New Roman" w:eastAsia="仿宋_GB2312" w:cs="Times New Roman"/>
          <w:sz w:val="32"/>
          <w:szCs w:val="32"/>
        </w:rPr>
        <w:t>等到北岸研发中试、创业成长，在人才共训、共育、共享方面加大合作力度，打造长三角地区华为生态型OPC社区。大力推进区域内产业空间储备，加强华为生态伙伴企业招引，谋划发展智能芯片、汽车电子、通信设备、软件开发、数字能源等产业。加快推进锦绣客厅·立讯科学园开发建设，推动消费电子扩链延链，支持立讯集团汽车电子、医疗电子等新业务落地，构建“南华为、北立讯”创新格局，到2030年形成千亿级创新产业集群。</w:t>
      </w:r>
      <w:bookmarkEnd w:id="420"/>
    </w:p>
    <w:p w14:paraId="0022FE81">
      <w:pPr>
        <w:overflowPunct w:val="0"/>
        <w:adjustRightInd w:val="0"/>
        <w:spacing w:after="156" w:afterLines="50" w:line="600" w:lineRule="exact"/>
        <w:ind w:firstLine="640" w:firstLineChars="200"/>
        <w:jc w:val="both"/>
        <w:rPr>
          <w:rFonts w:hint="default" w:ascii="Times New Roman" w:hAnsi="Times New Roman" w:eastAsia="仿宋_GB2312" w:cs="Times New Roman"/>
          <w:sz w:val="32"/>
          <w:szCs w:val="32"/>
        </w:rPr>
      </w:pPr>
    </w:p>
    <w:p w14:paraId="600FD4B7">
      <w:pPr>
        <w:overflowPunct w:val="0"/>
        <w:adjustRightInd w:val="0"/>
        <w:spacing w:after="0" w:line="240" w:lineRule="auto"/>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drawing>
          <wp:inline distT="0" distB="0" distL="114300" distR="114300">
            <wp:extent cx="3768725" cy="4027170"/>
            <wp:effectExtent l="0" t="0" r="3175" b="11430"/>
            <wp:docPr id="3" name="图片 3" descr="19be03b1ed19f271f9af512f03ea25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9be03b1ed19f271f9af512f03ea25aa"/>
                    <pic:cNvPicPr>
                      <a:picLocks noChangeAspect="1"/>
                    </pic:cNvPicPr>
                  </pic:nvPicPr>
                  <pic:blipFill>
                    <a:blip r:embed="rId12"/>
                    <a:stretch>
                      <a:fillRect/>
                    </a:stretch>
                  </pic:blipFill>
                  <pic:spPr>
                    <a:xfrm>
                      <a:off x="0" y="0"/>
                      <a:ext cx="3768725" cy="4027170"/>
                    </a:xfrm>
                    <a:prstGeom prst="rect">
                      <a:avLst/>
                    </a:prstGeom>
                  </pic:spPr>
                </pic:pic>
              </a:graphicData>
            </a:graphic>
          </wp:inline>
        </w:drawing>
      </w:r>
    </w:p>
    <w:p w14:paraId="3145DA4E">
      <w:pPr>
        <w:overflowPunct w:val="0"/>
        <w:adjustRightInd w:val="0"/>
        <w:spacing w:after="156" w:afterLines="50" w:line="600" w:lineRule="exact"/>
        <w:jc w:val="center"/>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t>图1  “两湖”科创战略空间布局</w:t>
      </w:r>
    </w:p>
    <w:p w14:paraId="1832C454">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421" w:name="_Toc2053"/>
      <w:bookmarkStart w:id="422" w:name="_Toc13257"/>
      <w:bookmarkStart w:id="423" w:name="_Toc3590"/>
      <w:bookmarkStart w:id="424" w:name="_Toc26153"/>
      <w:bookmarkStart w:id="425" w:name="_Toc21123"/>
      <w:bookmarkStart w:id="426" w:name="_Toc26913"/>
      <w:bookmarkStart w:id="427" w:name="_Toc17941"/>
      <w:bookmarkStart w:id="428" w:name="_Toc24289"/>
      <w:bookmarkStart w:id="429" w:name="_Toc29500"/>
      <w:bookmarkStart w:id="430" w:name="_Toc6473"/>
      <w:bookmarkStart w:id="431" w:name="_Toc20931"/>
      <w:bookmarkStart w:id="432" w:name="_Toc27781"/>
      <w:bookmarkStart w:id="433" w:name="_Toc24366"/>
      <w:bookmarkStart w:id="434" w:name="_Toc24103"/>
      <w:bookmarkStart w:id="435" w:name="_Toc3501"/>
      <w:bookmarkStart w:id="436" w:name="_Toc218010919"/>
      <w:bookmarkStart w:id="437" w:name="_Toc13638"/>
      <w:bookmarkStart w:id="438" w:name="_Toc11619"/>
      <w:bookmarkStart w:id="439" w:name="_Toc7265"/>
      <w:bookmarkStart w:id="440" w:name="_Toc15736"/>
      <w:bookmarkStart w:id="441" w:name="_Toc16604"/>
      <w:r>
        <w:rPr>
          <w:rFonts w:hint="default" w:ascii="Times New Roman" w:hAnsi="Times New Roman" w:eastAsia="楷体" w:cs="Times New Roman"/>
          <w:sz w:val="32"/>
          <w:szCs w:val="32"/>
        </w:rPr>
        <w:t>第二节 突出企业创新主体地位</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14:paraId="1378A291">
      <w:pPr>
        <w:overflowPunct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深化实施祖冲之攻关计划。</w:t>
      </w:r>
      <w:r>
        <w:rPr>
          <w:rFonts w:hint="default" w:ascii="Times New Roman" w:hAnsi="Times New Roman" w:eastAsia="仿宋_GB2312" w:cs="Times New Roman"/>
          <w:sz w:val="32"/>
          <w:szCs w:val="32"/>
        </w:rPr>
        <w:t>构建多层次技术攻关体系，聚焦15条重点产业链，制定国产替代技术攻关路线图，综合运用“揭榜挂帅”“赛马制”、定向委托等攻关机制，加快突破产业发展技术瓶颈。</w:t>
      </w:r>
      <w:r>
        <w:rPr>
          <w:rFonts w:hint="default" w:ascii="Times New Roman" w:hAnsi="Times New Roman" w:eastAsia="仿宋_GB2312" w:cs="Times New Roman"/>
          <w:kern w:val="32"/>
          <w:sz w:val="32"/>
          <w:szCs w:val="32"/>
        </w:rPr>
        <w:t>定制化挖掘企业需求，</w:t>
      </w:r>
      <w:r>
        <w:rPr>
          <w:rFonts w:hint="default" w:ascii="Times New Roman" w:hAnsi="Times New Roman" w:eastAsia="仿宋_GB2312" w:cs="Times New Roman"/>
          <w:sz w:val="32"/>
          <w:szCs w:val="32"/>
        </w:rPr>
        <w:t>支持企业协同上中下游企业、高校，以“项目+课题”形式联合揭榜，形成协同创新局面。常态化挖掘中小企业需求，形成产业链技术攻关需求清单。深化祖冲之攻关计划成果转化，探索重大创新平台科研成果“沿途下蛋、就地转化”机制，联合重点高校院所，共建昆山成果转化办公室，打造长三角技术转移服务高地。</w:t>
      </w:r>
    </w:p>
    <w:p w14:paraId="23597E20">
      <w:pPr>
        <w:widowControl/>
        <w:overflowPunct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构建企业创新中心和创新联合体</w:t>
      </w:r>
      <w:r>
        <w:rPr>
          <w:rFonts w:hint="default" w:ascii="Times New Roman" w:hAnsi="Times New Roman" w:eastAsia="仿宋_GB2312" w:cs="Times New Roman"/>
          <w:sz w:val="32"/>
          <w:szCs w:val="32"/>
        </w:rPr>
        <w:t>。系统构建层次分明、功能互补的高水平创新平台体系，完善“昆山</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苏州</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省”三级实验室梯次培育模式，围绕新一代信息技术、智能制造、新能源等领域，鼓励企业争创省级以上重点实验室、国家企业技术中心、国家新兴产业创新中心等，努力在“国字号”平台创建上实现突破。鼓励链主企业向链群企业开放概念验证中心、中试转化平台、技术应用场景等创新资源，发布产业链重大攻关需求榜单，组建高水平创新联合体，通过技术共享、订单联动、标准输出等方式，带动配套企业协同创新。支持中小企业组建产业创新联盟，促进抱团发展，实现从“点状突破”向“链式创新”转变，构建大中小企业协同发展的产业科创生态。</w:t>
      </w:r>
    </w:p>
    <w:tbl>
      <w:tblPr>
        <w:tblStyle w:val="19"/>
        <w:tblW w:w="8394" w:type="dxa"/>
        <w:jc w:val="center"/>
        <w:tblBorders>
          <w:top w:val="single" w:color="auto" w:sz="12" w:space="0"/>
          <w:left w:val="single" w:color="auto" w:sz="12" w:space="0"/>
          <w:bottom w:val="single" w:color="auto" w:sz="12" w:space="0"/>
          <w:right w:val="single" w:color="auto" w:sz="12" w:space="0"/>
          <w:insideH w:val="single" w:color="auto" w:sz="2" w:space="0"/>
          <w:insideV w:val="outset" w:color="auto" w:sz="6" w:space="0"/>
        </w:tblBorders>
        <w:tblLayout w:type="fixed"/>
        <w:tblCellMar>
          <w:top w:w="0" w:type="dxa"/>
          <w:left w:w="108" w:type="dxa"/>
          <w:bottom w:w="0" w:type="dxa"/>
          <w:right w:w="108" w:type="dxa"/>
        </w:tblCellMar>
      </w:tblPr>
      <w:tblGrid>
        <w:gridCol w:w="8394"/>
      </w:tblGrid>
      <w:tr w14:paraId="345D35C2">
        <w:tblPrEx>
          <w:tblBorders>
            <w:top w:val="single" w:color="auto" w:sz="12" w:space="0"/>
            <w:left w:val="single" w:color="auto" w:sz="12" w:space="0"/>
            <w:bottom w:val="single" w:color="auto" w:sz="12" w:space="0"/>
            <w:right w:val="single" w:color="auto" w:sz="12" w:space="0"/>
            <w:insideH w:val="single" w:color="auto" w:sz="2" w:space="0"/>
            <w:insideV w:val="outset" w:color="auto" w:sz="6" w:space="0"/>
          </w:tblBorders>
          <w:tblCellMar>
            <w:top w:w="0" w:type="dxa"/>
            <w:left w:w="108" w:type="dxa"/>
            <w:bottom w:w="0" w:type="dxa"/>
            <w:right w:w="108" w:type="dxa"/>
          </w:tblCellMar>
        </w:tblPrEx>
        <w:trPr>
          <w:trHeight w:val="1791" w:hRule="atLeast"/>
          <w:jc w:val="center"/>
        </w:trPr>
        <w:tc>
          <w:tcPr>
            <w:tcW w:w="8394" w:type="dxa"/>
            <w:tcBorders>
              <w:top w:val="single" w:color="auto" w:sz="12" w:space="0"/>
              <w:left w:val="single" w:color="auto" w:sz="12" w:space="0"/>
              <w:bottom w:val="single" w:color="auto" w:sz="12" w:space="0"/>
              <w:right w:val="single" w:color="auto" w:sz="12" w:space="0"/>
            </w:tcBorders>
            <w:vAlign w:val="center"/>
          </w:tcPr>
          <w:p w14:paraId="7B4BF328">
            <w:pPr>
              <w:overflowPunct w:val="0"/>
              <w:adjustRightInd w:val="0"/>
              <w:snapToGrid w:val="0"/>
              <w:spacing w:after="156" w:afterLines="50" w:line="600" w:lineRule="exact"/>
              <w:jc w:val="center"/>
              <w:textAlignment w:val="baseline"/>
              <w:rPr>
                <w:rFonts w:hint="default" w:ascii="Times New Roman" w:hAnsi="Times New Roman" w:eastAsia="黑体" w:cs="Times New Roman"/>
                <w:spacing w:val="-1"/>
                <w:sz w:val="28"/>
                <w:szCs w:val="28"/>
              </w:rPr>
            </w:pPr>
            <w:r>
              <w:rPr>
                <w:rFonts w:hint="default" w:ascii="Times New Roman" w:hAnsi="Times New Roman" w:eastAsia="黑体" w:cs="Times New Roman"/>
                <w:spacing w:val="-1"/>
                <w:sz w:val="28"/>
                <w:szCs w:val="28"/>
              </w:rPr>
              <w:t xml:space="preserve">专栏 </w:t>
            </w:r>
            <w:r>
              <w:rPr>
                <w:rFonts w:hint="default" w:ascii="Times New Roman" w:hAnsi="Times New Roman" w:eastAsia="黑体" w:cs="Times New Roman"/>
                <w:spacing w:val="-1"/>
                <w:sz w:val="28"/>
                <w:szCs w:val="28"/>
                <w:lang w:val="en-US" w:eastAsia="zh-CN"/>
              </w:rPr>
              <w:t>3</w:t>
            </w:r>
            <w:r>
              <w:rPr>
                <w:rFonts w:hint="default" w:ascii="Times New Roman" w:hAnsi="Times New Roman" w:eastAsia="黑体" w:cs="Times New Roman"/>
                <w:spacing w:val="-1"/>
                <w:sz w:val="28"/>
                <w:szCs w:val="28"/>
              </w:rPr>
              <w:t>：“十五五”重大创新平台建设</w:t>
            </w:r>
          </w:p>
          <w:p w14:paraId="133C573D">
            <w:pPr>
              <w:overflowPunct w:val="0"/>
              <w:adjustRightInd w:val="0"/>
              <w:snapToGrid w:val="0"/>
              <w:spacing w:after="0" w:line="320" w:lineRule="exact"/>
              <w:ind w:firstLine="464" w:firstLineChars="200"/>
              <w:jc w:val="both"/>
              <w:textAlignment w:val="baseline"/>
              <w:rPr>
                <w:rFonts w:hint="default" w:ascii="Times New Roman" w:hAnsi="Times New Roman" w:eastAsia="宋体" w:cs="Times New Roman"/>
                <w:spacing w:val="-4"/>
                <w:sz w:val="24"/>
              </w:rPr>
            </w:pPr>
            <w:r>
              <w:rPr>
                <w:rFonts w:hint="default" w:ascii="Times New Roman" w:hAnsi="Times New Roman" w:eastAsia="楷体_GB2312" w:cs="Times New Roman"/>
                <w:spacing w:val="-4"/>
                <w:sz w:val="24"/>
              </w:rPr>
              <w:t>深时数字地球国际大科学计划</w:t>
            </w:r>
            <w:r>
              <w:rPr>
                <w:rFonts w:hint="default" w:ascii="Times New Roman" w:hAnsi="Times New Roman" w:eastAsia="宋体" w:cs="Times New Roman"/>
                <w:spacing w:val="-4"/>
                <w:sz w:val="24"/>
              </w:rPr>
              <w:t>：2023年1月19日，国务院批复同意深时数字地球国际大科学计划作为我国牵头组织的首个国际大科学计划正式立项。深时数字地球国际大科学计划，致力于协调地球演化数据、共享全球地学知识、为全球提供科技公共产品，推动地球科学研究范式变革，建成国际地球科学中心。</w:t>
            </w:r>
          </w:p>
          <w:p w14:paraId="4C960332">
            <w:pPr>
              <w:overflowPunct w:val="0"/>
              <w:adjustRightInd w:val="0"/>
              <w:snapToGrid w:val="0"/>
              <w:spacing w:after="0" w:line="320" w:lineRule="exact"/>
              <w:ind w:firstLine="464" w:firstLineChars="200"/>
              <w:jc w:val="both"/>
              <w:textAlignment w:val="baseline"/>
              <w:rPr>
                <w:rFonts w:hint="default" w:ascii="Times New Roman" w:hAnsi="Times New Roman" w:eastAsia="宋体" w:cs="Times New Roman"/>
                <w:spacing w:val="-4"/>
                <w:sz w:val="24"/>
              </w:rPr>
            </w:pPr>
            <w:r>
              <w:rPr>
                <w:rFonts w:hint="default" w:ascii="Times New Roman" w:hAnsi="Times New Roman" w:eastAsia="楷体_GB2312" w:cs="Times New Roman"/>
                <w:spacing w:val="-4"/>
                <w:sz w:val="24"/>
              </w:rPr>
              <w:t>国家自主软硬件协同计算技术创新中心</w:t>
            </w:r>
            <w:r>
              <w:rPr>
                <w:rFonts w:hint="default" w:ascii="Times New Roman" w:hAnsi="Times New Roman" w:eastAsia="宋体" w:cs="Times New Roman"/>
                <w:spacing w:val="-4"/>
                <w:sz w:val="24"/>
              </w:rPr>
              <w:t>：由中科可控信息产业有限公司牵头，解决国产硬件生态下国产软件“卡脖子”问题，提供超级计算应用的技术创新、自主应用开发与成果转化服务，打造自主可控的信息产业生态。</w:t>
            </w:r>
          </w:p>
          <w:p w14:paraId="5D547A8C">
            <w:pPr>
              <w:overflowPunct w:val="0"/>
              <w:adjustRightInd w:val="0"/>
              <w:snapToGrid w:val="0"/>
              <w:spacing w:after="0" w:line="320" w:lineRule="exact"/>
              <w:ind w:firstLine="464" w:firstLineChars="200"/>
              <w:jc w:val="both"/>
              <w:textAlignment w:val="baseline"/>
              <w:rPr>
                <w:rFonts w:hint="default" w:ascii="Times New Roman" w:hAnsi="Times New Roman" w:eastAsia="宋体" w:cs="Times New Roman"/>
                <w:spacing w:val="-4"/>
                <w:sz w:val="24"/>
              </w:rPr>
            </w:pPr>
            <w:r>
              <w:rPr>
                <w:rFonts w:hint="default" w:ascii="Times New Roman" w:hAnsi="Times New Roman" w:eastAsia="楷体_GB2312" w:cs="Times New Roman"/>
                <w:spacing w:val="-4"/>
                <w:sz w:val="24"/>
              </w:rPr>
              <w:t>高能半导体产业创新中心</w:t>
            </w:r>
            <w:r>
              <w:rPr>
                <w:rFonts w:hint="default" w:ascii="Times New Roman" w:hAnsi="Times New Roman" w:eastAsia="宋体" w:cs="Times New Roman"/>
                <w:spacing w:val="-4"/>
                <w:sz w:val="24"/>
              </w:rPr>
              <w:t>：由苏州能讯牵头，围绕射频半导体射频器件高性能开发、规模生产工艺开发、可靠性体系建立等方向，建设全国射频半导体射频器件工程化技术中心、成果开发和示范转化中心</w:t>
            </w:r>
            <w:r>
              <w:rPr>
                <w:rFonts w:hint="default" w:ascii="Times New Roman" w:hAnsi="Times New Roman" w:eastAsia="宋体" w:cs="Times New Roman"/>
                <w:spacing w:val="-4"/>
                <w:sz w:val="24"/>
                <w:lang w:eastAsia="zh-CN"/>
              </w:rPr>
              <w:t>、</w:t>
            </w:r>
            <w:r>
              <w:rPr>
                <w:rFonts w:hint="default" w:ascii="Times New Roman" w:hAnsi="Times New Roman" w:eastAsia="宋体" w:cs="Times New Roman"/>
                <w:spacing w:val="-4"/>
                <w:sz w:val="24"/>
              </w:rPr>
              <w:t>人才培养中心、信息和合作交流中心。</w:t>
            </w:r>
          </w:p>
          <w:p w14:paraId="22E3B849">
            <w:pPr>
              <w:overflowPunct w:val="0"/>
              <w:adjustRightInd w:val="0"/>
              <w:snapToGrid w:val="0"/>
              <w:spacing w:after="0" w:line="320" w:lineRule="exact"/>
              <w:ind w:firstLine="464" w:firstLineChars="200"/>
              <w:jc w:val="both"/>
              <w:textAlignment w:val="baseline"/>
              <w:rPr>
                <w:rFonts w:hint="default" w:ascii="Times New Roman" w:hAnsi="Times New Roman" w:eastAsia="宋体" w:cs="Times New Roman"/>
                <w:spacing w:val="-4"/>
                <w:sz w:val="24"/>
              </w:rPr>
            </w:pPr>
            <w:r>
              <w:rPr>
                <w:rFonts w:hint="default" w:ascii="Times New Roman" w:hAnsi="Times New Roman" w:eastAsia="楷体_GB2312" w:cs="Times New Roman"/>
                <w:spacing w:val="-4"/>
                <w:sz w:val="24"/>
              </w:rPr>
              <w:t>新型光电显示技术实验室</w:t>
            </w:r>
            <w:r>
              <w:rPr>
                <w:rFonts w:hint="default" w:ascii="Times New Roman" w:hAnsi="Times New Roman" w:eastAsia="宋体" w:cs="Times New Roman"/>
                <w:spacing w:val="-4"/>
                <w:sz w:val="24"/>
              </w:rPr>
              <w:t>：由龙腾光电牵头，围绕新型显示产业的共性关键科学问题，布局低碳节能、显示信息隐私保护、高可靠氧化物TFT技术等三个研究方向，推进“近零功耗”反射式显示技术、高可靠金属氧化物背板技术以及一体化视角切换防窥技术三项重大研究任务。</w:t>
            </w:r>
          </w:p>
          <w:p w14:paraId="77997749">
            <w:pPr>
              <w:overflowPunct w:val="0"/>
              <w:adjustRightInd w:val="0"/>
              <w:snapToGrid w:val="0"/>
              <w:spacing w:after="0" w:line="320" w:lineRule="exact"/>
              <w:ind w:firstLine="464" w:firstLineChars="200"/>
              <w:jc w:val="both"/>
              <w:textAlignment w:val="baseline"/>
              <w:rPr>
                <w:rFonts w:hint="default" w:ascii="Times New Roman" w:hAnsi="Times New Roman" w:eastAsia="宋体" w:cs="Times New Roman"/>
                <w:spacing w:val="-4"/>
                <w:sz w:val="24"/>
              </w:rPr>
            </w:pPr>
            <w:r>
              <w:rPr>
                <w:rFonts w:hint="default" w:ascii="Times New Roman" w:hAnsi="Times New Roman" w:eastAsia="楷体_GB2312" w:cs="Times New Roman"/>
                <w:spacing w:val="-4"/>
                <w:sz w:val="24"/>
              </w:rPr>
              <w:t>固态锂电池实验室</w:t>
            </w:r>
            <w:r>
              <w:rPr>
                <w:rFonts w:hint="default" w:ascii="Times New Roman" w:hAnsi="Times New Roman" w:eastAsia="宋体" w:cs="Times New Roman"/>
                <w:spacing w:val="-4"/>
                <w:sz w:val="24"/>
              </w:rPr>
              <w:t>：由清陶能源牵头，聚焦突破高性能固态电解质、高容量电极材料等关键技术瓶颈，推动固态电池材料与技术领域的科学研究和技术创新，支撑新能源汽车、储能电站及智能电网等领域发展。</w:t>
            </w:r>
          </w:p>
          <w:p w14:paraId="251701FA">
            <w:pPr>
              <w:overflowPunct w:val="0"/>
              <w:adjustRightInd w:val="0"/>
              <w:snapToGrid w:val="0"/>
              <w:spacing w:after="0" w:line="320" w:lineRule="exact"/>
              <w:ind w:firstLine="464" w:firstLineChars="200"/>
              <w:jc w:val="both"/>
              <w:textAlignment w:val="baseline"/>
              <w:rPr>
                <w:rFonts w:hint="default" w:ascii="Times New Roman" w:hAnsi="Times New Roman" w:eastAsia="宋体" w:cs="Times New Roman"/>
                <w:spacing w:val="-4"/>
                <w:sz w:val="24"/>
              </w:rPr>
            </w:pPr>
            <w:r>
              <w:rPr>
                <w:rFonts w:hint="default" w:ascii="Times New Roman" w:hAnsi="Times New Roman" w:eastAsia="楷体_GB2312" w:cs="Times New Roman"/>
                <w:spacing w:val="-4"/>
                <w:sz w:val="24"/>
              </w:rPr>
              <w:t>钙钛矿光伏技术创新中心</w:t>
            </w:r>
            <w:r>
              <w:rPr>
                <w:rFonts w:hint="default" w:ascii="Times New Roman" w:hAnsi="Times New Roman" w:eastAsia="宋体" w:cs="Times New Roman"/>
                <w:spacing w:val="-4"/>
                <w:sz w:val="24"/>
              </w:rPr>
              <w:t>：由协鑫光电牵头，苏州大学、中科院苏州纳米所、西安交大苏州研究院等为共建单位，推动国内自主研发钙钛矿光伏协同创新，争取钙钛矿叠层电池实验室效率突破33%，量产效率超30%。</w:t>
            </w:r>
          </w:p>
          <w:p w14:paraId="3A9FEDE2">
            <w:pPr>
              <w:overflowPunct w:val="0"/>
              <w:adjustRightInd w:val="0"/>
              <w:snapToGrid w:val="0"/>
              <w:spacing w:after="0" w:line="320" w:lineRule="exact"/>
              <w:ind w:firstLine="464" w:firstLineChars="200"/>
              <w:jc w:val="both"/>
              <w:textAlignment w:val="baseline"/>
              <w:rPr>
                <w:rFonts w:hint="default" w:ascii="Times New Roman" w:hAnsi="Times New Roman" w:eastAsia="宋体" w:cs="Times New Roman"/>
                <w:spacing w:val="-4"/>
                <w:sz w:val="24"/>
              </w:rPr>
            </w:pPr>
            <w:r>
              <w:rPr>
                <w:rFonts w:hint="default" w:ascii="Times New Roman" w:hAnsi="Times New Roman" w:eastAsia="楷体_GB2312" w:cs="Times New Roman"/>
                <w:spacing w:val="-4"/>
                <w:sz w:val="24"/>
              </w:rPr>
              <w:t>具身智能创新中心</w:t>
            </w:r>
            <w:r>
              <w:rPr>
                <w:rFonts w:hint="default" w:ascii="Times New Roman" w:hAnsi="Times New Roman" w:eastAsia="宋体" w:cs="Times New Roman"/>
                <w:spacing w:val="-4"/>
                <w:sz w:val="24"/>
              </w:rPr>
              <w:t>：由沪光汽车牵头，联合智元机器人，构建“一中心四平台”体系，即具身智能创新中心、具身智能机器人制造基地平台、人才培养平台、重大技术和零部件攻关平台、服务与应用平台，为工业场景提供中试和验证平台。</w:t>
            </w:r>
          </w:p>
          <w:p w14:paraId="7F35D29B">
            <w:pPr>
              <w:overflowPunct w:val="0"/>
              <w:adjustRightInd w:val="0"/>
              <w:snapToGrid w:val="0"/>
              <w:spacing w:after="0" w:line="320" w:lineRule="exact"/>
              <w:ind w:firstLine="464" w:firstLineChars="200"/>
              <w:jc w:val="both"/>
              <w:textAlignment w:val="baseline"/>
              <w:rPr>
                <w:rFonts w:hint="default" w:ascii="Times New Roman" w:hAnsi="Times New Roman" w:eastAsia="宋体" w:cs="Times New Roman"/>
                <w:spacing w:val="-4"/>
                <w:sz w:val="24"/>
              </w:rPr>
            </w:pPr>
            <w:r>
              <w:rPr>
                <w:rFonts w:hint="default" w:ascii="Times New Roman" w:hAnsi="Times New Roman" w:eastAsia="楷体_GB2312" w:cs="Times New Roman"/>
                <w:spacing w:val="-4"/>
                <w:sz w:val="24"/>
              </w:rPr>
              <w:t>智能影像技术实验室</w:t>
            </w:r>
            <w:r>
              <w:rPr>
                <w:rFonts w:hint="default" w:ascii="Times New Roman" w:hAnsi="Times New Roman" w:eastAsia="宋体" w:cs="Times New Roman"/>
                <w:spacing w:val="-4"/>
                <w:sz w:val="24"/>
              </w:rPr>
              <w:t>：由影石科技牵头，联合南京大学，在AI视觉、图像处理等领域开展合作研发，推进AI影像处理、防抖技术等核心能力的应用转化。</w:t>
            </w:r>
          </w:p>
          <w:p w14:paraId="5CD56BC6">
            <w:pPr>
              <w:overflowPunct w:val="0"/>
              <w:adjustRightInd w:val="0"/>
              <w:snapToGrid w:val="0"/>
              <w:spacing w:after="0" w:line="320" w:lineRule="exact"/>
              <w:ind w:firstLine="464" w:firstLineChars="200"/>
              <w:jc w:val="both"/>
              <w:textAlignment w:val="baseline"/>
              <w:rPr>
                <w:rFonts w:hint="default" w:ascii="Times New Roman" w:hAnsi="Times New Roman" w:eastAsia="宋体" w:cs="Times New Roman"/>
                <w:spacing w:val="-4"/>
                <w:sz w:val="24"/>
              </w:rPr>
            </w:pPr>
            <w:r>
              <w:rPr>
                <w:rFonts w:hint="default" w:ascii="Times New Roman" w:hAnsi="Times New Roman" w:eastAsia="楷体_GB2312" w:cs="Times New Roman"/>
                <w:spacing w:val="-4"/>
                <w:sz w:val="24"/>
              </w:rPr>
              <w:t>智慧育儿用品实验室</w:t>
            </w:r>
            <w:r>
              <w:rPr>
                <w:rFonts w:hint="default" w:ascii="Times New Roman" w:hAnsi="Times New Roman" w:eastAsia="宋体" w:cs="Times New Roman"/>
                <w:spacing w:val="-4"/>
                <w:sz w:val="24"/>
              </w:rPr>
              <w:t>：由好孩子牵头，组建孕婴童用品生态圈，开展儿童行为学、人机工程学及儿童约束系统测试假人开发等基础研究，</w:t>
            </w:r>
            <w:r>
              <w:rPr>
                <w:rFonts w:hint="default" w:ascii="Times New Roman" w:hAnsi="Times New Roman" w:eastAsia="宋体" w:cs="Times New Roman"/>
                <w:spacing w:val="-4"/>
                <w:sz w:val="24"/>
                <w:highlight w:val="none"/>
              </w:rPr>
              <w:t>推进婴幼儿用品安全标准</w:t>
            </w:r>
            <w:r>
              <w:rPr>
                <w:rFonts w:hint="default" w:ascii="Times New Roman" w:hAnsi="Times New Roman" w:eastAsia="宋体" w:cs="Times New Roman"/>
                <w:spacing w:val="-4"/>
                <w:sz w:val="24"/>
                <w:highlight w:val="none"/>
                <w:lang w:val="en-US" w:eastAsia="zh-CN"/>
              </w:rPr>
              <w:t>建设</w:t>
            </w:r>
            <w:r>
              <w:rPr>
                <w:rFonts w:hint="default" w:ascii="Times New Roman" w:hAnsi="Times New Roman" w:eastAsia="宋体" w:cs="Times New Roman"/>
                <w:spacing w:val="-4"/>
                <w:sz w:val="24"/>
                <w:highlight w:val="none"/>
              </w:rPr>
              <w:t>与智能化产品研发。</w:t>
            </w:r>
          </w:p>
        </w:tc>
      </w:tr>
    </w:tbl>
    <w:p w14:paraId="69872EB7">
      <w:pPr>
        <w:widowControl/>
        <w:overflowPunct w:val="0"/>
        <w:spacing w:after="0" w:line="600" w:lineRule="exact"/>
        <w:ind w:firstLine="640" w:firstLineChars="200"/>
        <w:jc w:val="both"/>
        <w:rPr>
          <w:rFonts w:hint="default" w:ascii="Times New Roman" w:hAnsi="Times New Roman" w:cs="Times New Roman"/>
        </w:rPr>
      </w:pPr>
      <w:r>
        <w:rPr>
          <w:rFonts w:hint="default" w:ascii="Times New Roman" w:hAnsi="Times New Roman" w:eastAsia="楷体" w:cs="Times New Roman"/>
          <w:sz w:val="32"/>
          <w:szCs w:val="32"/>
        </w:rPr>
        <w:t>打造创新型企业梯次队伍。</w:t>
      </w:r>
      <w:r>
        <w:rPr>
          <w:rFonts w:hint="default" w:ascii="Times New Roman" w:hAnsi="Times New Roman" w:eastAsia="仿宋_GB2312" w:cs="Times New Roman"/>
          <w:sz w:val="32"/>
          <w:szCs w:val="32"/>
        </w:rPr>
        <w:t>实施优质企业梯度培育、创新能级提升等专项工程，建立重点领域企业培育库，打造“精准识别</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梯度培育</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生态赋能”全链条培育机制，加速形成以科技型中小企业为基础、高新技术企业为主体、瞪羚独角兽和上市企业为引领的企业矩阵，到2030年，科技型中小企业突破4500家。</w:t>
      </w:r>
      <w:r>
        <w:rPr>
          <w:rFonts w:hint="default" w:ascii="Times New Roman" w:hAnsi="Times New Roman" w:eastAsia="仿宋_GB2312" w:cs="Times New Roman"/>
          <w:sz w:val="32"/>
          <w:szCs w:val="32"/>
          <w:lang w:bidi="ar"/>
        </w:rPr>
        <w:t>聚力打造创新型“链主”企业，通过产品创新、模式变革、兼并重组、企业上市等，培育一批</w:t>
      </w:r>
      <w:r>
        <w:rPr>
          <w:rFonts w:hint="default" w:ascii="Times New Roman" w:hAnsi="Times New Roman" w:eastAsia="仿宋_GB2312" w:cs="Times New Roman"/>
          <w:sz w:val="32"/>
          <w:szCs w:val="32"/>
          <w:lang w:val="en-US" w:eastAsia="zh-CN" w:bidi="ar"/>
        </w:rPr>
        <w:t>具有</w:t>
      </w:r>
      <w:r>
        <w:rPr>
          <w:rFonts w:hint="default" w:ascii="Times New Roman" w:hAnsi="Times New Roman" w:eastAsia="仿宋_GB2312" w:cs="Times New Roman"/>
          <w:sz w:val="32"/>
          <w:szCs w:val="32"/>
          <w:lang w:bidi="ar"/>
        </w:rPr>
        <w:t>产业链整合力、生态主导力、价值创造力的国际一流企业。争取设立专精特新企业赋能中心，锻造壮大“专精特新”企业队伍，</w:t>
      </w:r>
      <w:r>
        <w:rPr>
          <w:rFonts w:hint="default" w:ascii="Times New Roman" w:hAnsi="Times New Roman" w:eastAsia="仿宋_GB2312" w:cs="Times New Roman"/>
          <w:sz w:val="32"/>
          <w:szCs w:val="32"/>
        </w:rPr>
        <w:t>建立健全专项政策体系和服务体系，培育一批专注细分市场、创新能力突出、掌握关键技术的“小巨人”企业和制造业单项冠军。</w:t>
      </w:r>
      <w:r>
        <w:rPr>
          <w:rFonts w:hint="default" w:ascii="Times New Roman" w:hAnsi="Times New Roman" w:eastAsia="仿宋_GB2312" w:cs="Times New Roman"/>
          <w:sz w:val="32"/>
          <w:szCs w:val="32"/>
          <w:lang w:bidi="ar"/>
        </w:rPr>
        <w:t>大力实施科技企业“小升高”计划，优先将科技型中小企业纳入高新技术企业培育库。</w:t>
      </w:r>
    </w:p>
    <w:p w14:paraId="7424208C">
      <w:pPr>
        <w:widowControl/>
        <w:overflowPunct w:val="0"/>
        <w:spacing w:after="0" w:line="600" w:lineRule="exact"/>
        <w:ind w:firstLine="640" w:firstLineChars="200"/>
        <w:jc w:val="center"/>
        <w:outlineLvl w:val="2"/>
        <w:rPr>
          <w:rFonts w:hint="default" w:ascii="Times New Roman" w:hAnsi="Times New Roman" w:eastAsia="楷体" w:cs="Times New Roman"/>
          <w:sz w:val="32"/>
          <w:szCs w:val="32"/>
        </w:rPr>
      </w:pPr>
      <w:bookmarkStart w:id="442" w:name="_Toc17649"/>
      <w:bookmarkStart w:id="443" w:name="_Toc27540"/>
      <w:bookmarkStart w:id="444" w:name="_Toc6844"/>
      <w:bookmarkStart w:id="445" w:name="_Toc21041"/>
      <w:bookmarkStart w:id="446" w:name="_Toc10333"/>
      <w:bookmarkStart w:id="447" w:name="_Toc5148"/>
      <w:bookmarkStart w:id="448" w:name="_Toc16738"/>
      <w:bookmarkStart w:id="449" w:name="_Toc31388"/>
      <w:bookmarkStart w:id="450" w:name="_Toc12916"/>
      <w:bookmarkStart w:id="451" w:name="_Toc32638"/>
      <w:bookmarkStart w:id="452" w:name="_Toc12682"/>
      <w:bookmarkStart w:id="453" w:name="_Toc218010920"/>
      <w:bookmarkStart w:id="454" w:name="_Toc28172"/>
      <w:bookmarkStart w:id="455" w:name="_Toc8527"/>
      <w:bookmarkStart w:id="456" w:name="_Toc13293"/>
      <w:bookmarkStart w:id="457" w:name="_Toc20637"/>
      <w:bookmarkStart w:id="458" w:name="_Toc22895"/>
      <w:bookmarkStart w:id="459" w:name="_Toc22774"/>
      <w:bookmarkStart w:id="460" w:name="_Toc9183"/>
      <w:bookmarkStart w:id="461" w:name="_Toc3672"/>
      <w:bookmarkStart w:id="462" w:name="_Toc31056"/>
      <w:r>
        <w:rPr>
          <w:rFonts w:hint="default" w:ascii="Times New Roman" w:hAnsi="Times New Roman" w:eastAsia="楷体" w:cs="Times New Roman"/>
          <w:sz w:val="32"/>
          <w:szCs w:val="32"/>
        </w:rPr>
        <w:t>第三节 推进科学家</w:t>
      </w:r>
      <w:r>
        <w:rPr>
          <w:rFonts w:hint="default" w:ascii="Times New Roman" w:hAnsi="Times New Roman" w:eastAsia="仿宋_GB2312" w:cs="Times New Roman"/>
          <w:sz w:val="32"/>
          <w:szCs w:val="32"/>
          <w:lang w:eastAsia="zh-CN"/>
        </w:rPr>
        <w:t>—</w:t>
      </w:r>
      <w:r>
        <w:rPr>
          <w:rFonts w:hint="default" w:ascii="Times New Roman" w:hAnsi="Times New Roman" w:eastAsia="楷体" w:cs="Times New Roman"/>
          <w:sz w:val="32"/>
          <w:szCs w:val="32"/>
        </w:rPr>
        <w:t>企业家</w:t>
      </w:r>
      <w:r>
        <w:rPr>
          <w:rFonts w:hint="default" w:ascii="Times New Roman" w:hAnsi="Times New Roman" w:eastAsia="仿宋_GB2312" w:cs="Times New Roman"/>
          <w:sz w:val="32"/>
          <w:szCs w:val="32"/>
          <w:lang w:eastAsia="zh-CN"/>
        </w:rPr>
        <w:t>—</w:t>
      </w:r>
      <w:r>
        <w:rPr>
          <w:rFonts w:hint="default" w:ascii="Times New Roman" w:hAnsi="Times New Roman" w:eastAsia="楷体" w:cs="Times New Roman"/>
          <w:sz w:val="32"/>
          <w:szCs w:val="32"/>
        </w:rPr>
        <w:t>投资家协同</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14:paraId="2D58B02B">
      <w:pPr>
        <w:pStyle w:val="17"/>
        <w:widowControl/>
        <w:overflowPunct w:val="0"/>
        <w:spacing w:beforeAutospacing="0" w:afterAutospacing="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提升产学研合作新效能。</w:t>
      </w:r>
      <w:r>
        <w:rPr>
          <w:rFonts w:hint="default" w:ascii="Times New Roman" w:hAnsi="Times New Roman" w:eastAsia="仿宋_GB2312" w:cs="Times New Roman"/>
          <w:sz w:val="32"/>
          <w:szCs w:val="32"/>
        </w:rPr>
        <w:t>建立企业家库、科学家库，健全常态联系工作机制，充分发挥企业在技术研发方向决策、创新资源配置中的主体作用，布局建设一批国家技术创新中心、产业创新中心、制造业创新中心，构建产学研融通创新模式。深化与清华大学、上海交大、西安电子科大、中科院微电子所等合作，推进一批校地成果转化合作中心建设。探索高新区和高等院校“双高协同”发展模式，深化与知名高校在概念验证、技术中试、大规模产业化联动等方面创新合作。支持高等院校、科研院所采取技术成果作价入股、先使用后付费等形式，加速科技成果转化。壮大技术经纪人队伍，集聚一批市场化科技服务机构，促成一批产学研合作项目。完善创新产品采购制度，落实首台（套）、首批次、首版次应用政策，搭建示范应用场景，推动创新产品规模化应用。分类开展原理验证、技术验证和商业验证服务，促进供需精准对接。</w:t>
      </w:r>
    </w:p>
    <w:p w14:paraId="3D0327A6">
      <w:pPr>
        <w:numPr>
          <w:ilvl w:val="255"/>
          <w:numId w:val="0"/>
        </w:numPr>
        <w:overflowPunct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构建科创资本服务矩阵。</w:t>
      </w:r>
      <w:r>
        <w:rPr>
          <w:rFonts w:hint="default" w:ascii="Times New Roman" w:hAnsi="Times New Roman" w:eastAsia="仿宋_GB2312" w:cs="Times New Roman"/>
          <w:sz w:val="32"/>
          <w:szCs w:val="32"/>
        </w:rPr>
        <w:t>加强与国家创业投资引导基金对接，高效运作产业资本中心，做优产业发展引导基金、产业发展投资母基金、昆玉人才发展基金、天使投资基金，探索设立并购基金等子基金，培育壮大耐心资本。加大对中小微企业融资支持力度，持续推动“四贷联动”产品和服务创新。以“AI+金融”增强服务供给能力，提升金融服务效率和精准性。用好“金融超市”“易企融”等线上平台，深化“昆科贷”“昆育融”等产品运用，探索知识产权质押等新型融资模式。扩大科技保险覆盖面，推广首台（套）重大技术装备保险、关键研发设备险等新型险种。支持高成长科技企业上市融资，鼓励符合条件的企业及机构发行科技创新债券，拓宽企业直接融资渠道。</w:t>
      </w:r>
    </w:p>
    <w:p w14:paraId="410402B6">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加强知识产权保护和运用。</w:t>
      </w:r>
      <w:r>
        <w:rPr>
          <w:rFonts w:hint="default" w:ascii="Times New Roman" w:hAnsi="Times New Roman" w:eastAsia="仿宋_GB2312" w:cs="Times New Roman"/>
          <w:sz w:val="32"/>
          <w:szCs w:val="32"/>
        </w:rPr>
        <w:t>高质量建设一批知识产权与标准融合协同创新中心，探索产业标准与必要专利、标准与相关专利融合发展模式，构建协同创新支撑体系。提升企业海外知识产权布局能力，开展海外知识产权监测预警、维权服务，提升海外重大知识产权应诉案件指导覆盖率。开展县域国家级专利侵权纠纷行政裁决规范化建设试点，深化知识产权纠纷“行政调解+司法确认”衔接机制，设立知识产权司法保护工作站和联络点，打造全链条知识产权保护法律服务体系。健全知识产权市场化运营机制，培育专业化知识产权服务机构，加强知识产权人才培养。</w:t>
      </w:r>
    </w:p>
    <w:p w14:paraId="75586B70">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深入推进质量标准建设。</w:t>
      </w:r>
      <w:r>
        <w:rPr>
          <w:rFonts w:hint="default" w:ascii="Times New Roman" w:hAnsi="Times New Roman" w:eastAsia="仿宋_GB2312" w:cs="Times New Roman"/>
          <w:sz w:val="32"/>
          <w:szCs w:val="32"/>
        </w:rPr>
        <w:t>引导企业加强质量创新投入，推广应用先进质量体系认证、企业首席质量官等制度，推进质量管理全流程数智化转型。聚焦产业链技术升级和质量升级堵点难点，组建质量创新联合体，开展先进共性技术研发攻关，推动构建质量管理协同、质量资源共享、技术优势互补的良好产业生态。围绕产业发展需求，支持企业主导或参与国际标准、国家标准及行业标准制修订，鼓励行业有实力的企业主导制定具有前瞻性的技术标准，以先进标准牵引产业向高端化、智能化、绿色化升级。</w:t>
      </w:r>
    </w:p>
    <w:p w14:paraId="0A21B88D">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463" w:name="_Toc218010921"/>
      <w:bookmarkStart w:id="464" w:name="_Toc1157"/>
      <w:bookmarkStart w:id="465" w:name="_Toc4656"/>
      <w:bookmarkStart w:id="466" w:name="_Toc4075"/>
      <w:bookmarkStart w:id="467" w:name="_Toc15093"/>
      <w:bookmarkStart w:id="468" w:name="_Toc16201"/>
      <w:bookmarkStart w:id="469" w:name="_Toc20999"/>
      <w:bookmarkStart w:id="470" w:name="_Toc3319"/>
      <w:bookmarkStart w:id="471" w:name="_Toc2763"/>
      <w:bookmarkStart w:id="472" w:name="_Toc26612"/>
      <w:bookmarkStart w:id="473" w:name="_Toc11852"/>
      <w:bookmarkStart w:id="474" w:name="_Toc18981"/>
      <w:bookmarkStart w:id="475" w:name="_Toc31763"/>
      <w:bookmarkStart w:id="476" w:name="_Toc9790"/>
      <w:bookmarkStart w:id="477" w:name="_Toc30330"/>
      <w:bookmarkStart w:id="478" w:name="_Toc14766"/>
      <w:bookmarkStart w:id="479" w:name="_Toc14338"/>
      <w:bookmarkStart w:id="480" w:name="_Toc9480"/>
      <w:bookmarkStart w:id="481" w:name="_Toc17718"/>
      <w:bookmarkStart w:id="482" w:name="_Toc12585"/>
      <w:bookmarkStart w:id="483" w:name="_Toc14520"/>
      <w:r>
        <w:rPr>
          <w:rFonts w:hint="default" w:ascii="Times New Roman" w:hAnsi="Times New Roman" w:eastAsia="楷体" w:cs="Times New Roman"/>
          <w:sz w:val="32"/>
          <w:szCs w:val="32"/>
        </w:rPr>
        <w:t>第四节 一体推进教育科技人才发展</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14:paraId="37C588DF">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实施全球引才计划</w:t>
      </w:r>
      <w:r>
        <w:rPr>
          <w:rFonts w:hint="default" w:ascii="Times New Roman" w:hAnsi="Times New Roman" w:eastAsia="仿宋_GB2312" w:cs="Times New Roman"/>
          <w:sz w:val="32"/>
          <w:szCs w:val="32"/>
        </w:rPr>
        <w:t>。迭代升级人才政策体系，大力实施人才科创“631”计划，突出企业在人才引育中主体作用，支持企业在人才密集城市设立研发中心等“人才飞地”，探索在全球创新高地设立离岸创新中心，以“联合研发、共享共用”模式吸引高层次人才。深化“头雁人才”等顶尖人才计划，发挥国家海外高层次人才创新创业基地、国家创新人才培养示范基地等平台作用，吸引集聚一批顶尖人才。开展“百校千企”对接，加大青年人才引进力度。探索实施企业人才工作积分奖励机制，优化人才评价体系和人才科创项目评审机制，吸引集成电路、人工智能、先进制造等领域顶尖人才和创新团队。</w:t>
      </w:r>
    </w:p>
    <w:p w14:paraId="4280EA5E">
      <w:pPr>
        <w:overflowPunct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大力推进产教融合。</w:t>
      </w:r>
      <w:r>
        <w:rPr>
          <w:rFonts w:hint="default" w:ascii="Times New Roman" w:hAnsi="Times New Roman" w:eastAsia="仿宋_GB2312" w:cs="Times New Roman"/>
          <w:sz w:val="32"/>
          <w:szCs w:val="32"/>
        </w:rPr>
        <w:t>协助昆山杜克大学向上对接争取各级政策支持，聚焦高层次人才“引、育、用、留”全链条建设，加快打造一批具有国际影响力的顶尖学科，为区域经济高质量发展提供坚实的智力支撑和创新策源。加强卓越工程师培养，实施校企“双导师制”，推广设立工程类研究生（产教融合）联培基地，高质量建设产教融合共同体。加强公办技工学校建设，强化技术技能人才贯通培养，统筹推进职业教育与技工教育协调贯通发展。支持登云、硅湖等职业学院积极探索订单班、冠名班、现场工程师等人才培养新模式，加快培育一批科研型、管理型和技能型青年人才。探索建设科技商学院等平台，加快培养懂科技、懂产业、懂管理的复合型人才。到2030年，全市技能人才突破45万人。</w:t>
      </w:r>
    </w:p>
    <w:p w14:paraId="55041A44">
      <w:pPr>
        <w:overflowPunct w:val="0"/>
        <w:autoSpaceDE w:val="0"/>
        <w:autoSpaceDN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厚植人才创新创业生态。</w:t>
      </w:r>
      <w:r>
        <w:rPr>
          <w:rFonts w:hint="default" w:ascii="Times New Roman" w:hAnsi="Times New Roman" w:eastAsia="仿宋_GB2312" w:cs="Times New Roman"/>
          <w:sz w:val="32"/>
          <w:szCs w:val="32"/>
        </w:rPr>
        <w:t>办好昆山创业周、人才科创城市行、“祖冲之杯”创新创业大赛等活动，打响“才来昆山更精彩”品牌，建设一批OPC标杆社区。推进校地“双向挂职”，探索人才“校企双聘”。高效运行科创发展服务中心，组建人才科创发展联合会，开展投融资对接品牌活动，持续优化“四链融合”资源配置。升级“昆如意”企业服务总入口，推广“人才码”，推进高层次人才服务全周期、便利化发展。健全租购补一体化人才住房保障体系，高效建设人才公寓，打造一批高品质人才社区，优化人才医疗保障、子女入学等方面特色服务。</w:t>
      </w:r>
    </w:p>
    <w:p w14:paraId="64356836">
      <w:pPr>
        <w:overflowPunct w:val="0"/>
        <w:adjustRightInd w:val="0"/>
        <w:spacing w:before="156" w:beforeLines="50" w:after="156" w:afterLines="50" w:line="600" w:lineRule="exact"/>
        <w:jc w:val="center"/>
        <w:outlineLvl w:val="1"/>
        <w:rPr>
          <w:rFonts w:hint="default" w:ascii="Times New Roman" w:hAnsi="Times New Roman" w:eastAsia="黑体" w:cs="Times New Roman"/>
          <w:sz w:val="32"/>
          <w:szCs w:val="32"/>
        </w:rPr>
      </w:pPr>
      <w:bookmarkStart w:id="484" w:name="_Toc17417"/>
      <w:bookmarkStart w:id="485" w:name="_Toc26374"/>
      <w:bookmarkStart w:id="486" w:name="_Toc13068"/>
      <w:bookmarkStart w:id="487" w:name="_Toc8770"/>
      <w:bookmarkStart w:id="488" w:name="_Toc25668"/>
      <w:bookmarkStart w:id="489" w:name="_Toc10519"/>
      <w:bookmarkStart w:id="490" w:name="_Toc2518"/>
      <w:bookmarkStart w:id="491" w:name="_Toc218010922"/>
      <w:bookmarkStart w:id="492" w:name="_Toc1454"/>
      <w:bookmarkStart w:id="493" w:name="_Toc27946"/>
      <w:bookmarkStart w:id="494" w:name="_Toc12627"/>
      <w:bookmarkStart w:id="495" w:name="_Toc17407"/>
      <w:bookmarkStart w:id="496" w:name="_Toc22991"/>
      <w:bookmarkStart w:id="497" w:name="_Toc5006"/>
      <w:bookmarkStart w:id="498" w:name="_Toc25158"/>
      <w:bookmarkStart w:id="499" w:name="_Toc29807"/>
      <w:bookmarkStart w:id="500" w:name="_Toc32023"/>
      <w:bookmarkStart w:id="501" w:name="_Toc31922"/>
      <w:bookmarkStart w:id="502" w:name="_Toc10328"/>
      <w:bookmarkStart w:id="503" w:name="_Toc20983"/>
      <w:bookmarkStart w:id="504" w:name="_Toc20469"/>
      <w:r>
        <w:rPr>
          <w:rFonts w:hint="default" w:ascii="Times New Roman" w:hAnsi="Times New Roman" w:eastAsia="黑体" w:cs="Times New Roman"/>
          <w:sz w:val="32"/>
          <w:szCs w:val="32"/>
        </w:rPr>
        <w:t>第五章 融入以消费为主导的内需发展新格局</w:t>
      </w:r>
      <w:bookmarkEnd w:id="484"/>
      <w:bookmarkEnd w:id="485"/>
      <w:bookmarkEnd w:id="486"/>
    </w:p>
    <w:p w14:paraId="5C6E840C">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立足扩大内需这个战略基点，坚持惠民生和促消费、投资于物和投资于人紧密结合，推动商品消费提升、服务消费提质、消费场景提优，推动投资稳定增长、结构不断优化</w:t>
      </w:r>
      <w:r>
        <w:rPr>
          <w:rFonts w:hint="default" w:ascii="Times New Roman" w:hAnsi="Times New Roman" w:cs="Times New Roman"/>
          <w:sz w:val="32"/>
          <w:szCs w:val="32"/>
        </w:rPr>
        <w:t>，</w:t>
      </w:r>
      <w:r>
        <w:rPr>
          <w:rFonts w:hint="default" w:ascii="Times New Roman" w:hAnsi="Times New Roman" w:eastAsia="仿宋_GB2312" w:cs="Times New Roman"/>
          <w:sz w:val="32"/>
          <w:szCs w:val="32"/>
        </w:rPr>
        <w:t>促进消费和投资、供给和需求良性互动</w:t>
      </w:r>
      <w:r>
        <w:rPr>
          <w:rFonts w:hint="default" w:ascii="Times New Roman" w:hAnsi="Times New Roman" w:cs="Times New Roman"/>
          <w:sz w:val="32"/>
          <w:szCs w:val="32"/>
        </w:rPr>
        <w:t>。</w:t>
      </w:r>
    </w:p>
    <w:p w14:paraId="1C2777F6">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505" w:name="_Toc10165"/>
      <w:bookmarkStart w:id="506" w:name="_Toc16726"/>
      <w:bookmarkStart w:id="507" w:name="_Toc15852"/>
      <w:r>
        <w:rPr>
          <w:rFonts w:hint="default" w:ascii="Times New Roman" w:hAnsi="Times New Roman" w:eastAsia="楷体" w:cs="Times New Roman"/>
          <w:sz w:val="32"/>
          <w:szCs w:val="32"/>
        </w:rPr>
        <w:t>第一节 融入和拓展国内大市场</w:t>
      </w:r>
      <w:bookmarkEnd w:id="505"/>
      <w:bookmarkEnd w:id="506"/>
      <w:bookmarkEnd w:id="507"/>
    </w:p>
    <w:p w14:paraId="0180884C">
      <w:pPr>
        <w:widowControl/>
        <w:spacing w:after="0"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加快内外贸一体化发展。</w:t>
      </w:r>
      <w:r>
        <w:rPr>
          <w:rFonts w:hint="default" w:ascii="Times New Roman" w:hAnsi="Times New Roman" w:eastAsia="仿宋_GB2312" w:cs="Times New Roman"/>
          <w:color w:val="000000"/>
          <w:kern w:val="0"/>
          <w:sz w:val="32"/>
          <w:szCs w:val="32"/>
          <w:lang w:bidi="ar"/>
        </w:rPr>
        <w:t>深度融入全国统一大市场，完善市场准入、公平竞争等制度，推动市场平等向各类经营主体开放。推进</w:t>
      </w:r>
      <w:r>
        <w:rPr>
          <w:rFonts w:hint="default" w:ascii="Times New Roman" w:hAnsi="Times New Roman" w:eastAsia="仿宋_GB2312" w:cs="Times New Roman"/>
          <w:sz w:val="32"/>
          <w:szCs w:val="32"/>
        </w:rPr>
        <w:t>内需和外需、进口和出口协同发力，实现国内国际两个市场深度贯通、双向赋能。围绕服务新消费、畅通双循环工作重点，强化内外贸一体化试点企业与平台培育，推动出口产品上平台、上连锁店、上大型商超，增强市场主体内外贸一体化经营能力。加快培养多元化经营主体，鼓励外贸企业研发适销对路的内销产品，建立国内营销网络与售后体系。支持有实力的商贸流通企业、老字号企业“走出去”，通过品牌赋能、推广合作等方式完善国际国内营销网络。坚持以贸促投，支持外贸企业投资实业，多元发展。优化制度与服务体系，推动国内国际标准转化互认，鼓励企业获取国际认证，引导企业实施内外贸产品“同线同标同质”。</w:t>
      </w:r>
    </w:p>
    <w:p w14:paraId="5A172203">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推动昆山优品布局全国市场。</w:t>
      </w:r>
      <w:r>
        <w:rPr>
          <w:rFonts w:hint="default" w:ascii="Times New Roman" w:hAnsi="Times New Roman" w:eastAsia="仿宋_GB2312" w:cs="Times New Roman"/>
          <w:sz w:val="32"/>
          <w:szCs w:val="32"/>
        </w:rPr>
        <w:t>建立健全昆山优品名录库，汇聚一批高新技术、绿色智能、特色消费品等优势产品。搭建多元化营销渠道，设立线上线下相结合的优品展示中心。发挥昆山驻外招商机构作用，对接当地零售商、电商平台，支持企业拓展异地市场。促进线上线下融合发展，用好广交会、华交会、进博会、“苏品苏货”对接会等展会平台，加快建设进口食品（花桥）国际贸易中心，运作好跨境电商平台，推动昆山优品卖全球。挖掘老字号品牌潜力，在核心商圈开设“昆山好物”体验店，提升本土品牌市场认可度。</w:t>
      </w:r>
    </w:p>
    <w:p w14:paraId="7D95DFFC">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508" w:name="_Toc10565"/>
      <w:bookmarkStart w:id="509" w:name="_Toc29522"/>
      <w:bookmarkStart w:id="510" w:name="_Toc11893"/>
      <w:r>
        <w:rPr>
          <w:rFonts w:hint="default" w:ascii="Times New Roman" w:hAnsi="Times New Roman" w:eastAsia="楷体" w:cs="Times New Roman"/>
          <w:sz w:val="32"/>
          <w:szCs w:val="32"/>
        </w:rPr>
        <w:t>第二节 加快推进消费提质扩容</w:t>
      </w:r>
      <w:bookmarkEnd w:id="508"/>
      <w:bookmarkEnd w:id="509"/>
      <w:bookmarkEnd w:id="510"/>
    </w:p>
    <w:p w14:paraId="45BEEF0F">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释放重点领域消费潜能</w:t>
      </w:r>
      <w:r>
        <w:rPr>
          <w:rFonts w:hint="default" w:ascii="Times New Roman" w:hAnsi="Times New Roman" w:eastAsia="仿宋_GB2312" w:cs="Times New Roman"/>
          <w:sz w:val="32"/>
          <w:szCs w:val="32"/>
        </w:rPr>
        <w:t>。推动大宗消费升级、新型消费壮大，构建“全季、全域、全景、全线、全品”融合消费体系。落实国家新能源汽车推广应用政策，完善充电基础设施网络，鼓励汽车以旧换新和新能源汽车消费。聚焦家电、家居家装等大宗消费，联动商贸主体、电商平台、行业协会等丰富消费场景供给，激活市场活力。支持直播电商、即时零售、共享经济等发展，鼓励传统零售企业数字化转型，培育一批新型消费品牌企业。强化文艺演出、体育赛事等新消费供给，引进培育二次元经济、时尚快消、潮牌潮玩、轻奢买手店、品牌工厂店等新型消费增长点。</w:t>
      </w:r>
    </w:p>
    <w:p w14:paraId="4D6FEA13">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优化提升商圈载体布局</w:t>
      </w:r>
      <w:r>
        <w:rPr>
          <w:rFonts w:hint="default" w:ascii="Times New Roman" w:hAnsi="Times New Roman" w:eastAsia="仿宋_GB2312" w:cs="Times New Roman"/>
          <w:sz w:val="32"/>
          <w:szCs w:val="32"/>
        </w:rPr>
        <w:t>。推进“1+3+14+N”商业中心体系建设，支持重点商圈、商业酒店提级发展，做精做优金鹰、万象汇、大渔湾、大西门等高品质时尚商圈，提升新朝阳生活荟、中骏世界城、大润发商业广场等商贸综合体能级。提升商业街服务业态，研究推进紫竹路、中山路、黄河路、北门路等传统商业街改造升级，建设亭林路</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人民路传统商业街、东新街滨水休闲商业街，打造一批集餐饮零售、艺术展演、时尚创意于一体的步行街区。挖掘昆山产业特色，布局工业博物馆、企业展示中心、特色工厂店等新场所。强化TOD项目赋能，以苏州轨交11号线为主轴，构建高效体验与特色购物于一体的消费场景。加快“一刻钟便民生活圈”建设，丰富社区商业载体布局。</w:t>
      </w:r>
    </w:p>
    <w:p w14:paraId="621E732D">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扩大优质消费品和服务供给。</w:t>
      </w:r>
      <w:r>
        <w:rPr>
          <w:rFonts w:hint="default" w:ascii="Times New Roman" w:hAnsi="Times New Roman" w:eastAsia="仿宋_GB2312" w:cs="Times New Roman"/>
          <w:sz w:val="32"/>
          <w:szCs w:val="32"/>
        </w:rPr>
        <w:t>持续开展“五五”“双12”等促消费活动，整合外贸优品、宝岛名品、昆山精品等扩容消费市场，打造“昆山好物”消费IP。加强国内外知名品牌首店引进，加大本土品牌培育，提升市场渗透率和影响力。培育智能服务业态，面向银发、亲子、健康等场景推出智能消费新品。深化商文体旅农融合型消费，推进“咖啡+”“戏曲+”，打造“昆曲文化体验游”“江南水乡休闲游”“乡村采摘研学游”。大力发展周末经济、夜间经济，用好昆山艺匠，开展“夜食、夜娱、夜购、夜游”等多元活动，构建24小时消费场景。统筹交通出行、文体消费、人才租房、便民缴费、商超购物等高频场景应用，构建鹿路通“城市钱包”融合支付体系。完善适老产品服务供给链，扩大银发消费规模。</w:t>
      </w:r>
    </w:p>
    <w:p w14:paraId="4A6BF098">
      <w:pPr>
        <w:overflowPunct w:val="0"/>
        <w:adjustRightInd w:val="0"/>
        <w:spacing w:after="156" w:afterLines="50" w:line="600" w:lineRule="exact"/>
        <w:rPr>
          <w:rFonts w:hint="default" w:ascii="Times New Roman" w:hAnsi="Times New Roman" w:eastAsia="仿宋_GB2312" w:cs="Times New Roman"/>
          <w:sz w:val="32"/>
          <w:szCs w:val="32"/>
        </w:rPr>
      </w:pPr>
    </w:p>
    <w:tbl>
      <w:tblPr>
        <w:tblStyle w:val="19"/>
        <w:tblpPr w:leftFromText="180" w:rightFromText="180" w:vertAnchor="text" w:horzAnchor="page" w:tblpX="1790" w:tblpY="-210"/>
        <w:tblOverlap w:val="never"/>
        <w:tblW w:w="8522" w:type="dxa"/>
        <w:tblInd w:w="0" w:type="dxa"/>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Layout w:type="fixed"/>
        <w:tblCellMar>
          <w:top w:w="0" w:type="dxa"/>
          <w:left w:w="108" w:type="dxa"/>
          <w:bottom w:w="0" w:type="dxa"/>
          <w:right w:w="108" w:type="dxa"/>
        </w:tblCellMar>
      </w:tblPr>
      <w:tblGrid>
        <w:gridCol w:w="8522"/>
      </w:tblGrid>
      <w:tr w14:paraId="7C44C598">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0" w:type="dxa"/>
            <w:left w:w="108" w:type="dxa"/>
            <w:bottom w:w="0" w:type="dxa"/>
            <w:right w:w="108" w:type="dxa"/>
          </w:tblCellMar>
        </w:tblPrEx>
        <w:trPr>
          <w:trHeight w:val="6565" w:hRule="atLeast"/>
        </w:trPr>
        <w:tc>
          <w:tcPr>
            <w:tcW w:w="8522" w:type="dxa"/>
            <w:tcBorders>
              <w:tl2br w:val="nil"/>
              <w:tr2bl w:val="nil"/>
            </w:tcBorders>
          </w:tcPr>
          <w:p w14:paraId="4A1F561F">
            <w:pPr>
              <w:overflowPunct w:val="0"/>
              <w:topLinePunct/>
              <w:adjustRightInd w:val="0"/>
              <w:spacing w:after="156" w:afterLines="50" w:line="600" w:lineRule="exact"/>
              <w:jc w:val="center"/>
              <w:rPr>
                <w:rFonts w:hint="default" w:ascii="Times New Roman" w:hAnsi="Times New Roman" w:eastAsia="宋体" w:cs="Times New Roman"/>
                <w:spacing w:val="-4"/>
                <w:sz w:val="24"/>
              </w:rPr>
            </w:pPr>
            <w:r>
              <w:rPr>
                <w:rFonts w:hint="default" w:ascii="Times New Roman" w:hAnsi="Times New Roman" w:eastAsia="黑体" w:cs="Times New Roman"/>
                <w:spacing w:val="-1"/>
                <w:sz w:val="28"/>
                <w:szCs w:val="28"/>
              </w:rPr>
              <w:t xml:space="preserve">专栏 </w:t>
            </w:r>
            <w:r>
              <w:rPr>
                <w:rFonts w:hint="default" w:ascii="Times New Roman" w:hAnsi="Times New Roman" w:eastAsia="黑体" w:cs="Times New Roman"/>
                <w:spacing w:val="-1"/>
                <w:sz w:val="28"/>
                <w:szCs w:val="28"/>
                <w:lang w:val="en-US" w:eastAsia="zh-CN"/>
              </w:rPr>
              <w:t>4</w:t>
            </w:r>
            <w:r>
              <w:rPr>
                <w:rFonts w:hint="default" w:ascii="Times New Roman" w:hAnsi="Times New Roman" w:eastAsia="黑体" w:cs="Times New Roman"/>
                <w:spacing w:val="-1"/>
                <w:sz w:val="28"/>
                <w:szCs w:val="28"/>
              </w:rPr>
              <w:t>：“1+3+14+N”四级商业中心体系</w:t>
            </w:r>
          </w:p>
          <w:p w14:paraId="1FC4D5C0">
            <w:pPr>
              <w:overflowPunct w:val="0"/>
              <w:topLinePunct/>
              <w:adjustRightInd w:val="0"/>
              <w:spacing w:after="0" w:line="320" w:lineRule="exact"/>
              <w:ind w:firstLine="466" w:firstLineChars="200"/>
              <w:jc w:val="both"/>
              <w:rPr>
                <w:rFonts w:hint="default" w:ascii="Times New Roman" w:hAnsi="Times New Roman" w:eastAsia="宋体" w:cs="Times New Roman"/>
                <w:spacing w:val="-4"/>
                <w:sz w:val="24"/>
              </w:rPr>
            </w:pPr>
            <w:r>
              <w:rPr>
                <w:rFonts w:hint="default" w:ascii="Times New Roman" w:hAnsi="Times New Roman" w:eastAsia="楷体_GB2312" w:cs="Times New Roman"/>
                <w:b/>
                <w:bCs/>
                <w:spacing w:val="-4"/>
                <w:sz w:val="24"/>
              </w:rPr>
              <w:t>1个市级商业中心。</w:t>
            </w:r>
            <w:r>
              <w:rPr>
                <w:rFonts w:hint="default" w:ascii="Times New Roman" w:hAnsi="Times New Roman" w:eastAsia="宋体" w:cs="Times New Roman"/>
                <w:spacing w:val="-4"/>
                <w:sz w:val="24"/>
              </w:rPr>
              <w:t>包括青阳港商圈和人民路-亭林路商圈。青阳港商圈，依托金鹰、中建鹿鸣府商业中心、大润发等商业综合体，沿青阳港东西两岸更新布局商业设施，打造滨水城市客厅-国际消费集聚区。人民路-亭林路商圈，结合玉山历史文化片区更新，引进具有地方传统特色和现代时尚体验型商业业态，打造代表昆山地域文化的“地标式”商圈。</w:t>
            </w:r>
          </w:p>
          <w:p w14:paraId="6EF97A25">
            <w:pPr>
              <w:overflowPunct w:val="0"/>
              <w:topLinePunct/>
              <w:adjustRightInd w:val="0"/>
              <w:spacing w:after="0" w:line="320" w:lineRule="exact"/>
              <w:ind w:firstLine="466" w:firstLineChars="200"/>
              <w:jc w:val="both"/>
              <w:rPr>
                <w:rFonts w:hint="default" w:ascii="Times New Roman" w:hAnsi="Times New Roman" w:eastAsia="宋体" w:cs="Times New Roman"/>
                <w:spacing w:val="-4"/>
                <w:sz w:val="24"/>
              </w:rPr>
            </w:pPr>
            <w:r>
              <w:rPr>
                <w:rFonts w:hint="default" w:ascii="Times New Roman" w:hAnsi="Times New Roman" w:eastAsia="楷体_GB2312" w:cs="Times New Roman"/>
                <w:b/>
                <w:bCs/>
                <w:spacing w:val="-4"/>
                <w:sz w:val="24"/>
              </w:rPr>
              <w:t>3个副市级商业中心。</w:t>
            </w:r>
            <w:r>
              <w:rPr>
                <w:rFonts w:hint="default" w:ascii="Times New Roman" w:hAnsi="Times New Roman" w:eastAsia="宋体" w:cs="Times New Roman"/>
                <w:spacing w:val="-4"/>
                <w:sz w:val="24"/>
              </w:rPr>
              <w:t>分别为：开发区东部商业副中心，依托世茂广场、京东奥莱、永旺梦乐城、奥体中心等空间载体，推动商贸、商务、生态等功能联动发展，提升区域商贸业辐射力。西部商业副中心，以万象汇、皇冠国际城市广场为基础，以轨道站点为依托，融合周边商业、酒店、休闲等各类设施，促进现代商业与创新创业、文化创意等跨界融合。南部商业副中心，以锦绣客厅为核心，集综合商业中心、商务办公、休闲娱乐为一体，辐射淀山湖、周庄、锦溪三镇。</w:t>
            </w:r>
          </w:p>
          <w:p w14:paraId="00C6A1DF">
            <w:pPr>
              <w:overflowPunct w:val="0"/>
              <w:topLinePunct/>
              <w:adjustRightInd w:val="0"/>
              <w:spacing w:after="0" w:line="320" w:lineRule="exact"/>
              <w:ind w:firstLine="466" w:firstLineChars="200"/>
              <w:jc w:val="both"/>
              <w:rPr>
                <w:rFonts w:hint="default" w:ascii="Times New Roman" w:hAnsi="Times New Roman" w:eastAsia="宋体" w:cs="Times New Roman"/>
                <w:spacing w:val="-4"/>
                <w:sz w:val="24"/>
              </w:rPr>
            </w:pPr>
            <w:r>
              <w:rPr>
                <w:rFonts w:hint="default" w:ascii="Times New Roman" w:hAnsi="Times New Roman" w:eastAsia="楷体_GB2312" w:cs="Times New Roman"/>
                <w:b/>
                <w:bCs/>
                <w:spacing w:val="-4"/>
                <w:sz w:val="24"/>
              </w:rPr>
              <w:t>14个乡镇（片区）级集贸中心。</w:t>
            </w:r>
            <w:r>
              <w:rPr>
                <w:rFonts w:hint="default" w:ascii="Times New Roman" w:hAnsi="Times New Roman" w:eastAsia="宋体" w:cs="Times New Roman"/>
                <w:spacing w:val="-4"/>
                <w:sz w:val="24"/>
              </w:rPr>
              <w:t>片区商贸中心5个：城北片区中心、城南片区中心、大渔湾片区中心、青阳片区中心、花桥片区中心。乡镇商贸中心9个：张浦商贸中心、陆家商贸中心、周市商贸中心、巴城商贸中心、正仪商贸中心、千灯商贸中心、淀山湖商贸中心、周庄商贸中心、锦溪商贸中心。</w:t>
            </w:r>
          </w:p>
          <w:p w14:paraId="3B1B74DA">
            <w:pPr>
              <w:overflowPunct w:val="0"/>
              <w:topLinePunct/>
              <w:adjustRightInd w:val="0"/>
              <w:spacing w:after="0" w:line="320" w:lineRule="exact"/>
              <w:ind w:firstLine="466" w:firstLineChars="200"/>
              <w:jc w:val="both"/>
              <w:rPr>
                <w:rFonts w:hint="default" w:ascii="Times New Roman" w:hAnsi="Times New Roman" w:cs="Times New Roman"/>
              </w:rPr>
            </w:pPr>
            <w:r>
              <w:rPr>
                <w:rFonts w:hint="default" w:ascii="Times New Roman" w:hAnsi="Times New Roman" w:eastAsia="楷体_GB2312" w:cs="Times New Roman"/>
                <w:b/>
                <w:bCs/>
                <w:spacing w:val="-4"/>
                <w:sz w:val="24"/>
              </w:rPr>
              <w:t>N个社区级商业中心。</w:t>
            </w:r>
            <w:r>
              <w:rPr>
                <w:rFonts w:hint="default" w:ascii="Times New Roman" w:hAnsi="Times New Roman" w:eastAsia="宋体" w:cs="Times New Roman"/>
                <w:spacing w:val="-4"/>
                <w:sz w:val="24"/>
              </w:rPr>
              <w:t>以“一刻钟便民生活圈”为基本服务单元进行配置，主要服务于本社区居民，以便民利民、满足和促进居民综合消费为目标。</w:t>
            </w:r>
          </w:p>
        </w:tc>
      </w:tr>
    </w:tbl>
    <w:p w14:paraId="064A0955">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511" w:name="_Toc28223"/>
      <w:bookmarkStart w:id="512" w:name="_Toc9520"/>
      <w:bookmarkStart w:id="513" w:name="_Toc13111"/>
      <w:r>
        <w:rPr>
          <w:rFonts w:hint="default" w:ascii="Times New Roman" w:hAnsi="Times New Roman" w:eastAsia="楷体" w:cs="Times New Roman"/>
          <w:sz w:val="32"/>
          <w:szCs w:val="32"/>
        </w:rPr>
        <w:t>第三节 强化有效投资支撑作用</w:t>
      </w:r>
      <w:bookmarkEnd w:id="511"/>
      <w:bookmarkEnd w:id="512"/>
      <w:bookmarkEnd w:id="513"/>
    </w:p>
    <w:p w14:paraId="15AC0477">
      <w:pPr>
        <w:widowControl/>
        <w:numPr>
          <w:ilvl w:val="255"/>
          <w:numId w:val="0"/>
        </w:numPr>
        <w:overflowPunct w:val="0"/>
        <w:spacing w:after="0"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发挥政府投资带动作用。</w:t>
      </w:r>
      <w:r>
        <w:rPr>
          <w:rFonts w:hint="default" w:ascii="Times New Roman" w:hAnsi="Times New Roman" w:eastAsia="仿宋_GB2312" w:cs="Times New Roman"/>
          <w:sz w:val="32"/>
          <w:szCs w:val="32"/>
        </w:rPr>
        <w:t>扎实做好政府投资项目谋划，进一步统筹资源向重点片区集聚，推进大型基础设施建设向产城人融合转型、点状更新向片区更新拓展。以重点工程为抓手，系统推进路网、水网、地下管网、民生网等重大工程，保持适度政府投资规模。用足超长期特别国债、地方政府专项债券、中央预算内投资等工具，常态化做好谋划储备，定期发布政府投资计划。加大产业园、仓储物流、消费类基础设施等存量资产盘活力度，争取国企发行公募REITs实现突破，支持国企通过发行债券等方式扩大融资规模。</w:t>
      </w:r>
    </w:p>
    <w:p w14:paraId="2D9AF7EF">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扩大社会资本有效投资。</w:t>
      </w:r>
      <w:r>
        <w:rPr>
          <w:rFonts w:hint="default" w:ascii="Times New Roman" w:hAnsi="Times New Roman" w:eastAsia="仿宋_GB2312" w:cs="Times New Roman"/>
          <w:sz w:val="32"/>
          <w:szCs w:val="32"/>
        </w:rPr>
        <w:t>紧盯世界500强、中国500强、行业前5强开展靶向招商，力争招引更多50亿级、百亿级重大项目。推进“两产两进两强”，深化招商服务一体化、重大项目挂钩服务等机制，依托重大项目全生命周期服务平台，统筹做好亿元以上产业项目招引建设。支持制造业企业扩大设备更新和技术改造投入，稳步提高工业投资占比，激发有效投资活力。健全政府投资带动社会投资的体制机制，推动财政性资金从“大投入”转变为“大撬动”。积极向社会资本开展投资项目推介，吸引社会资本参与城市更新，推动社会资本向医疗、养老、教育、乡村振兴等领域拓展。</w:t>
      </w:r>
    </w:p>
    <w:p w14:paraId="7BB4E0D5">
      <w:pPr>
        <w:overflowPunct w:val="0"/>
        <w:adjustRightInd w:val="0"/>
        <w:spacing w:before="156" w:beforeLines="50" w:after="156" w:afterLines="50" w:line="600" w:lineRule="exact"/>
        <w:jc w:val="center"/>
        <w:outlineLvl w:val="1"/>
        <w:rPr>
          <w:rFonts w:hint="default" w:ascii="Times New Roman" w:hAnsi="Times New Roman" w:eastAsia="黑体" w:cs="Times New Roman"/>
          <w:sz w:val="32"/>
          <w:szCs w:val="32"/>
        </w:rPr>
      </w:pPr>
      <w:bookmarkStart w:id="514" w:name="_Toc3404"/>
      <w:bookmarkStart w:id="515" w:name="_Toc5258"/>
      <w:bookmarkStart w:id="516" w:name="_Toc3838"/>
      <w:r>
        <w:rPr>
          <w:rFonts w:hint="default" w:ascii="Times New Roman" w:hAnsi="Times New Roman" w:eastAsia="黑体" w:cs="Times New Roman"/>
          <w:sz w:val="32"/>
          <w:szCs w:val="32"/>
        </w:rPr>
        <w:t>第六章 建立适应新质生产力发展的体制机制</w:t>
      </w:r>
      <w:bookmarkEnd w:id="514"/>
      <w:bookmarkEnd w:id="515"/>
      <w:bookmarkEnd w:id="516"/>
    </w:p>
    <w:p w14:paraId="5E6A164B">
      <w:pPr>
        <w:overflowPunct w:val="0"/>
        <w:adjustRightInd w:val="0"/>
        <w:spacing w:after="0"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聚焦构建高水平社会主义市场经济体制，健全与新质生产力发展相适应的体制机制，着力在要素市场化、营商环境优化、行政管理体制等重要领域改革上取得突破性进展，充分激发高质量发展的内生动力与活力。</w:t>
      </w:r>
    </w:p>
    <w:p w14:paraId="6EFB3144">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517" w:name="_Toc4659"/>
      <w:bookmarkStart w:id="518" w:name="_Toc25379"/>
      <w:bookmarkStart w:id="519" w:name="_Toc26705"/>
      <w:r>
        <w:rPr>
          <w:rFonts w:hint="default" w:ascii="Times New Roman" w:hAnsi="Times New Roman" w:eastAsia="楷体" w:cs="Times New Roman"/>
          <w:sz w:val="32"/>
          <w:szCs w:val="32"/>
        </w:rPr>
        <w:t>第一节 试点要素市场化配置改革</w:t>
      </w:r>
      <w:bookmarkEnd w:id="517"/>
      <w:bookmarkEnd w:id="518"/>
      <w:bookmarkEnd w:id="519"/>
    </w:p>
    <w:p w14:paraId="419B1230">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提升土地要素配置效率。</w:t>
      </w:r>
      <w:r>
        <w:rPr>
          <w:rFonts w:hint="default" w:ascii="Times New Roman" w:hAnsi="Times New Roman" w:eastAsia="仿宋_GB2312" w:cs="Times New Roman"/>
          <w:sz w:val="32"/>
          <w:szCs w:val="32"/>
        </w:rPr>
        <w:t>抓住用好苏南重点城市要素市场化配置综合改革试点机遇，实施城镇低效用地再开发试点，重点在优化土地供应路径等方面先行先试。盘活利用存量土地资源开展以县域为统筹单元、乡镇为基本实施单元的全域土地综合整治。鼓励老旧工业区连片集中开发，引导市场主体参与改造。支持符合国土空间规划要求的二三产业混合用地供应，完善产业用地弹性年期出让等方式。实施低效工业用地更新改造，研究土地使用权到期后续期路径，推进产业用地提质增效。解决存量土地和资产盘活难题，探索作价出资（入股）用地路径。深化“数据得地”，建立统一的产业载体资源共享大数据平台。健全城乡统一的建设用地市场，完善建设用地使用权转让、出租、抵押二级市场。推进农村宅基地制度改革试点，探索宅基地有偿使用和退出机制。</w:t>
      </w:r>
    </w:p>
    <w:p w14:paraId="543FE546">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培育完善数据要素市场。</w:t>
      </w:r>
      <w:r>
        <w:rPr>
          <w:rFonts w:hint="default" w:ascii="Times New Roman" w:hAnsi="Times New Roman" w:eastAsia="仿宋_GB2312" w:cs="Times New Roman"/>
          <w:sz w:val="32"/>
          <w:szCs w:val="32"/>
        </w:rPr>
        <w:t>落实国家“数据要素×”行动计划，推进数据要素市场化配置改革，高标准建设数据要素产业园。依托“数字昆山公共智慧底座2.0”，持续开展数据资源归集治理，完善全市一体化公共数据资源体系，形成公共数据资源“一本账”。推进数据共享开发，完善政务数据共享流程、安全体系，推动政务数据合规、高效共享利用。支持企业加强数据资源开发利用，培育一批行业性数据资源企业。鼓励企业实施以数据要素为关键驱动力的数字化转型，加快数科集团建设，探索数据资产变现路径。依托“四维数据实验室”等载体，开展空间信息数据集建设，打造“空间数据可信空间”。</w:t>
      </w:r>
    </w:p>
    <w:p w14:paraId="418C1E3F">
      <w:pPr>
        <w:overflowPunct w:val="0"/>
        <w:adjustRightInd w:val="0"/>
        <w:spacing w:after="0" w:line="600" w:lineRule="exact"/>
        <w:ind w:firstLine="640" w:firstLineChars="200"/>
        <w:jc w:val="both"/>
        <w:rPr>
          <w:rFonts w:hint="default" w:ascii="Times New Roman" w:hAnsi="Times New Roman" w:eastAsia="宋体" w:cs="Times New Roman"/>
          <w:szCs w:val="22"/>
        </w:rPr>
      </w:pPr>
      <w:r>
        <w:rPr>
          <w:rFonts w:hint="default" w:ascii="Times New Roman" w:hAnsi="Times New Roman" w:eastAsia="楷体" w:cs="Times New Roman"/>
          <w:sz w:val="32"/>
          <w:szCs w:val="32"/>
        </w:rPr>
        <w:t>促进资本要素市场化联动。</w:t>
      </w:r>
      <w:r>
        <w:rPr>
          <w:rFonts w:hint="default" w:ascii="Times New Roman" w:hAnsi="Times New Roman" w:eastAsia="仿宋_GB2312" w:cs="Times New Roman"/>
          <w:sz w:val="32"/>
          <w:szCs w:val="32"/>
        </w:rPr>
        <w:t>深化与沪深北交易所合作，建立健全分层次、动态管理的上市后备企业库，开展“一对一”精准辅导，到2030年，上市企业突破60家。引导上市公司通过“A+H”、定向增发、可转债等多元化方式再融资，鼓励其将募集资金和优质项目落地昆山。设立市场化并购基金，支持企业围绕主业开展产业链整合，并购境外先进技术和品牌。深化合格境外有限合伙人试点，对接优质投资机构，吸引境内外资本投资昆山。</w:t>
      </w:r>
    </w:p>
    <w:p w14:paraId="4C720434">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520" w:name="_Toc24283"/>
      <w:bookmarkStart w:id="521" w:name="_Toc1772"/>
      <w:bookmarkStart w:id="522" w:name="_Toc26727"/>
      <w:r>
        <w:rPr>
          <w:rFonts w:hint="default" w:ascii="Times New Roman" w:hAnsi="Times New Roman" w:eastAsia="楷体" w:cs="Times New Roman"/>
          <w:sz w:val="32"/>
          <w:szCs w:val="32"/>
        </w:rPr>
        <w:t>第二节 擦亮“昆如意”营商服务品牌</w:t>
      </w:r>
      <w:bookmarkEnd w:id="520"/>
      <w:bookmarkEnd w:id="521"/>
      <w:bookmarkEnd w:id="522"/>
    </w:p>
    <w:p w14:paraId="6BEF8415">
      <w:pPr>
        <w:numPr>
          <w:ilvl w:val="255"/>
          <w:numId w:val="0"/>
        </w:numPr>
        <w:overflowPunct w:val="0"/>
        <w:topLinePunct/>
        <w:adjustRightInd w:val="0"/>
        <w:snapToGrid w:val="0"/>
        <w:spacing w:after="0" w:line="600" w:lineRule="exact"/>
        <w:ind w:firstLine="640" w:firstLineChars="200"/>
        <w:jc w:val="both"/>
        <w:rPr>
          <w:rFonts w:hint="default" w:ascii="Times New Roman" w:hAnsi="Times New Roman" w:eastAsia="仿宋_GB2312" w:cs="Times New Roman"/>
          <w:kern w:val="44"/>
          <w:sz w:val="32"/>
        </w:rPr>
      </w:pPr>
      <w:r>
        <w:rPr>
          <w:rFonts w:hint="default" w:ascii="Times New Roman" w:hAnsi="Times New Roman" w:eastAsia="楷体" w:cs="Times New Roman"/>
          <w:sz w:val="32"/>
          <w:szCs w:val="32"/>
        </w:rPr>
        <w:t>深化集成式服务改革。</w:t>
      </w:r>
      <w:r>
        <w:rPr>
          <w:rFonts w:hint="default" w:ascii="Times New Roman" w:hAnsi="Times New Roman" w:eastAsia="仿宋_GB2312" w:cs="Times New Roman"/>
          <w:kern w:val="44"/>
          <w:sz w:val="32"/>
        </w:rPr>
        <w:t>实施“服务企业、服务项目、服务园区和基层”专项行动，健全“高效办成一件事”常态化推进机制。推广“综合查一次”，完善政企恳谈、营商环境体验官等工作机制，</w:t>
      </w:r>
      <w:r>
        <w:rPr>
          <w:rFonts w:hint="default" w:ascii="Times New Roman" w:hAnsi="Times New Roman" w:eastAsia="仿宋_GB2312" w:cs="Times New Roman"/>
          <w:sz w:val="32"/>
          <w:szCs w:val="32"/>
        </w:rPr>
        <w:t>实现更多“就近办”“网上办”“免证办”</w:t>
      </w:r>
      <w:r>
        <w:rPr>
          <w:rFonts w:hint="default" w:ascii="Times New Roman" w:hAnsi="Times New Roman" w:eastAsia="仿宋_GB2312" w:cs="Times New Roman"/>
          <w:kern w:val="44"/>
          <w:sz w:val="32"/>
        </w:rPr>
        <w:t>。</w:t>
      </w:r>
      <w:r>
        <w:rPr>
          <w:rFonts w:hint="default" w:ascii="Times New Roman" w:hAnsi="Times New Roman" w:eastAsia="仿宋_GB2312" w:cs="Times New Roman"/>
          <w:sz w:val="32"/>
          <w:szCs w:val="32"/>
        </w:rPr>
        <w:t>深化企业综合服务中心建设，</w:t>
      </w:r>
      <w:r>
        <w:rPr>
          <w:rFonts w:hint="default" w:ascii="Times New Roman" w:hAnsi="Times New Roman" w:eastAsia="仿宋_GB2312" w:cs="Times New Roman"/>
          <w:kern w:val="44"/>
          <w:sz w:val="32"/>
        </w:rPr>
        <w:t>建立健全首席企业综合服务专员制度、“企服活动联盟”机制、企业诉求兜底响应机制，为企业提供集成高效服务。完善企业破产风险预警和重整服务指引平台，构建困境企业全链条重整服务体系。深化企检服务中心建设，健全专业化、一体化、社会化防控机制，优化全生命周期法治服务，压降企业违法犯罪和被违法犯罪侵害风险。</w:t>
      </w:r>
    </w:p>
    <w:p w14:paraId="62684602">
      <w:pPr>
        <w:numPr>
          <w:ilvl w:val="255"/>
          <w:numId w:val="0"/>
        </w:numPr>
        <w:overflowPunct w:val="0"/>
        <w:topLinePunct/>
        <w:adjustRightInd w:val="0"/>
        <w:snapToGrid w:val="0"/>
        <w:spacing w:after="0" w:line="600" w:lineRule="exact"/>
        <w:ind w:firstLine="640" w:firstLineChars="200"/>
        <w:jc w:val="both"/>
        <w:rPr>
          <w:rFonts w:hint="default" w:ascii="Times New Roman" w:hAnsi="Times New Roman" w:eastAsia="仿宋_GB2312" w:cs="Times New Roman"/>
          <w:kern w:val="44"/>
          <w:sz w:val="32"/>
        </w:rPr>
      </w:pPr>
      <w:r>
        <w:rPr>
          <w:rFonts w:hint="default" w:ascii="Times New Roman" w:hAnsi="Times New Roman" w:eastAsia="楷体" w:cs="Times New Roman"/>
          <w:sz w:val="32"/>
          <w:szCs w:val="32"/>
        </w:rPr>
        <w:t>推进智能化服务改革。</w:t>
      </w:r>
      <w:r>
        <w:rPr>
          <w:rFonts w:hint="default" w:ascii="Times New Roman" w:hAnsi="Times New Roman" w:eastAsia="仿宋_GB2312" w:cs="Times New Roman"/>
          <w:sz w:val="32"/>
          <w:szCs w:val="32"/>
        </w:rPr>
        <w:t>优化升级“昆如意”企业服务总入口，完善政策、金融、载体空间、供需对接等服务，动态更新政策超市资源库，扩充免申即享清单范围，实现政策查询、项目申报、部门审核、资金兑现全程网办。推动政务服务旗舰店向移动端延伸，升级“人工智能+”政策解读、跨域帮办、智慧审批等功能，实现快速收件、智能审批，为群众提供“7×24小时不打烊”的沉浸式服务。聚焦群众所盼，做强“自助办、掌上办、指尖办”，推动社保、医保、户籍等便民服务向村社延伸、向基层下沉。</w:t>
      </w:r>
    </w:p>
    <w:p w14:paraId="7767A6E5">
      <w:pPr>
        <w:overflowPunct w:val="0"/>
        <w:adjustRightInd w:val="0"/>
        <w:snapToGrid w:val="0"/>
        <w:spacing w:after="0" w:line="600" w:lineRule="exact"/>
        <w:ind w:firstLine="640" w:firstLineChars="200"/>
        <w:jc w:val="both"/>
        <w:rPr>
          <w:rFonts w:hint="default" w:ascii="Times New Roman" w:hAnsi="Times New Roman" w:eastAsia="仿宋_GB2312" w:cs="Times New Roman"/>
          <w:sz w:val="32"/>
        </w:rPr>
      </w:pPr>
      <w:r>
        <w:rPr>
          <w:rFonts w:hint="default" w:ascii="Times New Roman" w:hAnsi="Times New Roman" w:eastAsia="楷体" w:cs="Times New Roman"/>
          <w:sz w:val="32"/>
          <w:szCs w:val="32"/>
        </w:rPr>
        <w:t>强化增值化服务改革。</w:t>
      </w:r>
      <w:r>
        <w:rPr>
          <w:rFonts w:hint="default" w:ascii="Times New Roman" w:hAnsi="Times New Roman" w:eastAsia="仿宋_GB2312" w:cs="Times New Roman"/>
          <w:sz w:val="32"/>
        </w:rPr>
        <w:t>在优化提升基本政务服务基础上，以涉企服务“一类事”为抓手，叠加关联度高的中介、金融、人才、科技、法律等增值服务事项，编制增值服务清单，打造形成定制化、套餐式、模块化、线上线下相融合的为企服务新场景。设立增值服务专区、增值服务专窗，以“专区+专窗+专人”模式推进企业服务从“便捷服务”向“增值服务”升级。联合专业机构、行业组织创新产业链服务，围绕企业生产经营全链条，提供供需对接、场景对接、市场开拓、订单争取、招工培训、信贷融资等一揽子特色服务。</w:t>
      </w:r>
    </w:p>
    <w:p w14:paraId="7503EBE4">
      <w:pPr>
        <w:overflowPunct w:val="0"/>
        <w:adjustRightInd w:val="0"/>
        <w:snapToGri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做好法治化服务改革。</w:t>
      </w:r>
      <w:r>
        <w:rPr>
          <w:rFonts w:hint="default" w:ascii="Times New Roman" w:hAnsi="Times New Roman" w:eastAsia="仿宋_GB2312" w:cs="Times New Roman"/>
          <w:sz w:val="32"/>
          <w:szCs w:val="32"/>
        </w:rPr>
        <w:t>健全以信用为基础的分级分类监管措施，实现信用在“双随机、一公开”等监管中常态化运用。</w:t>
      </w:r>
      <w:r>
        <w:rPr>
          <w:rFonts w:hint="default" w:ascii="Times New Roman" w:hAnsi="Times New Roman" w:eastAsia="仿宋_GB2312" w:cs="Times New Roman"/>
          <w:color w:val="000000"/>
          <w:sz w:val="31"/>
          <w:szCs w:val="31"/>
        </w:rPr>
        <w:t>深化包容审慎监管，探索新领域、新业态企业新型监管模式</w:t>
      </w:r>
      <w:r>
        <w:rPr>
          <w:rFonts w:hint="default" w:ascii="Times New Roman" w:hAnsi="Times New Roman" w:eastAsia="仿宋_GB2312" w:cs="Times New Roman"/>
          <w:sz w:val="32"/>
          <w:szCs w:val="32"/>
        </w:rPr>
        <w:t>。开展信用修复精准提醒，深化“两网联办 暖企筑信”信用修复互认机制，完善信用体系建设。强化公平竞争审查，消除要素获取、资质认定、招标投标、政府采购等方面壁垒。依法依规治理企业低价无序竞争，防止“内卷式”竞争。全面清理存量涉企收费政策，严格开展新政策合规审查。依托公安“数字门牌”，实现行政执法检查全流程闭环管理。规范涉企行政执法，细化落实“免罚轻罚”和不予实施行政强制措施清单，推动实现柔性执法、精准执法。</w:t>
      </w:r>
    </w:p>
    <w:p w14:paraId="54DCE54B">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523" w:name="_Toc29023"/>
      <w:bookmarkStart w:id="524" w:name="_Toc4902"/>
      <w:bookmarkStart w:id="525" w:name="_Toc10215"/>
      <w:r>
        <w:rPr>
          <w:rFonts w:hint="default" w:ascii="Times New Roman" w:hAnsi="Times New Roman" w:eastAsia="楷体" w:cs="Times New Roman"/>
          <w:sz w:val="32"/>
          <w:szCs w:val="32"/>
        </w:rPr>
        <w:t>第三节 深化行政管理体制改革</w:t>
      </w:r>
      <w:bookmarkEnd w:id="523"/>
      <w:bookmarkEnd w:id="524"/>
      <w:bookmarkEnd w:id="525"/>
    </w:p>
    <w:p w14:paraId="6D62B507">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优化昆山试验区管理体制。</w:t>
      </w:r>
      <w:r>
        <w:rPr>
          <w:rFonts w:hint="default" w:ascii="Times New Roman" w:hAnsi="Times New Roman" w:eastAsia="仿宋_GB2312" w:cs="Times New Roman"/>
          <w:sz w:val="32"/>
          <w:szCs w:val="32"/>
        </w:rPr>
        <w:t>持续深化昆山市与昆山深化两岸产业合作试验区融合发展体制机制创新，加大对上争取力度，不断优化部门职能及内设机构设置，保障提升重点领域重点工作，确保改革稳妥有序、高质高效，持续释放促进昆台融合、推动高质量发展的改革动力。</w:t>
      </w:r>
    </w:p>
    <w:p w14:paraId="66ACF141">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深化开发区管理体制改革。</w:t>
      </w:r>
      <w:r>
        <w:rPr>
          <w:rFonts w:hint="default" w:ascii="Times New Roman" w:hAnsi="Times New Roman" w:eastAsia="仿宋_GB2312" w:cs="Times New Roman"/>
          <w:sz w:val="32"/>
          <w:szCs w:val="32"/>
        </w:rPr>
        <w:t>落实苏州市委关于推进开发区管理体制机制创新的部署要求，严格履行主体责任，强化统筹协调，围绕产业功能、管理体制等制定实施开发区（功能园区）改革实施方案，推动各类开发区争先进位，加快构建适应高水平对外开放与高质量发展要求的体制机制，促进开发区聚焦主责主业、提升管理效能、持续创新发展。</w:t>
      </w:r>
    </w:p>
    <w:p w14:paraId="3C6B9437">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加速经济发达镇赋权改革。</w:t>
      </w:r>
      <w:r>
        <w:rPr>
          <w:rFonts w:hint="default" w:ascii="Times New Roman" w:hAnsi="Times New Roman" w:eastAsia="仿宋_GB2312" w:cs="Times New Roman"/>
          <w:sz w:val="32"/>
          <w:szCs w:val="32"/>
        </w:rPr>
        <w:t>以系统化思维推进经济发达镇改革，深化管理体制、权限赋予、用人机制、服务方式等领域改革，进一步激发经济发达镇内生动力。紧扣经济发达镇发展需求，按照上级有关精神依法动态调整精准赋权，提升权能配置适配性。聚焦“数字化、智慧化、法治化”改革方向，加强基层综合执法规范化、制度化、标准化体系建设，不断探索基层综合执法新路径新方法。顺应特大镇发展趋势，探索赋予特大镇同人口和经济规模相适应的经济社会管理权，让特大镇在区域经济发展中发挥优势作用。</w:t>
      </w:r>
    </w:p>
    <w:p w14:paraId="19B2F4CB">
      <w:pPr>
        <w:widowControl/>
        <w:spacing w:after="0"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加快推进财政管理改革。</w:t>
      </w:r>
      <w:r>
        <w:rPr>
          <w:rFonts w:hint="default" w:ascii="Times New Roman" w:hAnsi="Times New Roman" w:eastAsia="仿宋_GB2312" w:cs="Times New Roman"/>
          <w:color w:val="000000"/>
          <w:kern w:val="0"/>
          <w:sz w:val="32"/>
          <w:szCs w:val="32"/>
          <w:lang w:bidi="ar"/>
        </w:rPr>
        <w:t>以增强财政科学管理与可持续性为统领，加强财政资源和预算统筹。稳步推进零基预算改革，优化财政支出结构，加强预算绩效管理。落实国家财税制度改革，依法依规加强税费征管。健全财力与事权相匹配的财政管理体制，科学划分市与区镇财政事权和支出责任。加强财会监督。加快构建同高质量发展相适应的政府债务管理长效机制。</w:t>
      </w:r>
    </w:p>
    <w:p w14:paraId="0144F31B">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526" w:name="_Toc13972"/>
      <w:bookmarkStart w:id="527" w:name="_Toc13373"/>
      <w:bookmarkStart w:id="528" w:name="_Toc6390"/>
      <w:r>
        <w:rPr>
          <w:rFonts w:hint="default" w:ascii="Times New Roman" w:hAnsi="Times New Roman" w:eastAsia="楷体" w:cs="Times New Roman"/>
          <w:sz w:val="32"/>
          <w:szCs w:val="32"/>
        </w:rPr>
        <w:t>第四节 加快招商引资体制创新</w:t>
      </w:r>
      <w:bookmarkEnd w:id="526"/>
      <w:bookmarkEnd w:id="527"/>
      <w:bookmarkEnd w:id="528"/>
    </w:p>
    <w:p w14:paraId="6A2CF88C">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建立高效协同招商机制</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000000"/>
          <w:kern w:val="0"/>
          <w:sz w:val="32"/>
          <w:szCs w:val="32"/>
        </w:rPr>
        <w:t>构建“大招商、招大商、招好商”工作格局，</w:t>
      </w:r>
      <w:r>
        <w:rPr>
          <w:rFonts w:hint="default" w:ascii="Times New Roman" w:hAnsi="Times New Roman" w:eastAsia="仿宋_GB2312" w:cs="Times New Roman"/>
          <w:sz w:val="32"/>
          <w:szCs w:val="32"/>
        </w:rPr>
        <w:t>健全</w:t>
      </w:r>
      <w:r>
        <w:rPr>
          <w:rFonts w:hint="default" w:ascii="Times New Roman" w:hAnsi="Times New Roman" w:eastAsia="仿宋_GB2312" w:cs="Times New Roman"/>
          <w:color w:val="000000"/>
          <w:kern w:val="0"/>
          <w:sz w:val="32"/>
          <w:szCs w:val="32"/>
        </w:rPr>
        <w:t>市投资促进（人才引进）综合改革协调机制，形成“1+11+N”投资促进工作体系，</w:t>
      </w:r>
      <w:r>
        <w:rPr>
          <w:rFonts w:hint="default" w:ascii="Times New Roman" w:hAnsi="Times New Roman" w:eastAsia="仿宋_GB2312" w:cs="Times New Roman"/>
          <w:sz w:val="32"/>
          <w:szCs w:val="32"/>
        </w:rPr>
        <w:t>打造一批专业化、市场化、国际化招商队伍。建立覆盖重点国家、地区、城市的全球信息网络，多元化布局招商联络处、海外离岸中心。加强正向激励，探索建立编制外招商服务人员激励奖励机制，支持招商服务干部在合法合规前提下大胆创新、勇于尝试</w:t>
      </w:r>
      <w:r>
        <w:rPr>
          <w:rFonts w:hint="default" w:ascii="Times New Roman" w:hAnsi="Times New Roman" w:eastAsia="仿宋_GB2312" w:cs="Times New Roman"/>
          <w:color w:val="000000"/>
          <w:kern w:val="0"/>
          <w:sz w:val="32"/>
          <w:szCs w:val="32"/>
        </w:rPr>
        <w:t>。完善科技招商体系，</w:t>
      </w:r>
      <w:r>
        <w:rPr>
          <w:rFonts w:hint="default" w:ascii="Times New Roman" w:hAnsi="Times New Roman" w:eastAsia="仿宋_GB2312" w:cs="Times New Roman"/>
          <w:sz w:val="32"/>
          <w:szCs w:val="32"/>
        </w:rPr>
        <w:t>通过“资源导入+共建空间+联合基金”等方式，建立工业技术研究院与区镇联动机制。</w:t>
      </w:r>
    </w:p>
    <w:p w14:paraId="6A13D931">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创新招商引资方式方法。</w:t>
      </w:r>
      <w:r>
        <w:rPr>
          <w:rFonts w:hint="default" w:ascii="Times New Roman" w:hAnsi="Times New Roman" w:eastAsia="仿宋_GB2312" w:cs="Times New Roman"/>
          <w:color w:val="000000"/>
          <w:kern w:val="0"/>
          <w:sz w:val="32"/>
          <w:szCs w:val="32"/>
        </w:rPr>
        <w:t>实施产业链精准招商，围绕重点产业链开展穿透式分析和拆解式招商，</w:t>
      </w:r>
      <w:r>
        <w:rPr>
          <w:rFonts w:hint="default" w:ascii="Times New Roman" w:hAnsi="Times New Roman" w:eastAsia="仿宋_GB2312" w:cs="Times New Roman"/>
          <w:sz w:val="32"/>
          <w:szCs w:val="32"/>
        </w:rPr>
        <w:t>加强“链主”企业和生态主导型项目引进</w:t>
      </w:r>
      <w:r>
        <w:rPr>
          <w:rFonts w:hint="default" w:ascii="Times New Roman" w:hAnsi="Times New Roman" w:eastAsia="仿宋_GB2312" w:cs="Times New Roman"/>
          <w:color w:val="000000"/>
          <w:kern w:val="0"/>
          <w:sz w:val="32"/>
          <w:szCs w:val="32"/>
        </w:rPr>
        <w:t>。抓好以商招商，</w:t>
      </w:r>
      <w:r>
        <w:rPr>
          <w:rFonts w:hint="default" w:ascii="Times New Roman" w:hAnsi="Times New Roman" w:eastAsia="仿宋_GB2312" w:cs="Times New Roman"/>
          <w:sz w:val="32"/>
          <w:szCs w:val="32"/>
        </w:rPr>
        <w:t>深挖存量企业技术溢出、增资扩产、转型升级需求，</w:t>
      </w:r>
      <w:r>
        <w:rPr>
          <w:rFonts w:hint="default" w:ascii="Times New Roman" w:hAnsi="Times New Roman" w:eastAsia="仿宋_GB2312" w:cs="Times New Roman"/>
          <w:color w:val="000000"/>
          <w:kern w:val="0"/>
          <w:sz w:val="32"/>
          <w:szCs w:val="32"/>
        </w:rPr>
        <w:t>鼓励其引荐上下游合作伙伴，形成“服务好一个、引进来一批”链式效应</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000000"/>
          <w:kern w:val="0"/>
          <w:sz w:val="32"/>
          <w:szCs w:val="32"/>
        </w:rPr>
        <w:t>提升资本招商能力，加强与产业资本、创投基金深度合作，引导新锐企业、创新团队、种子项目加速向昆山集聚。推行场景招商，用好工业经济场景资源优势，推进场景培育开放，吸引优质项目落地。推进数字招商，运用人工智能、云计算等技术，动态分析产业趋势、企业投资动向，实现项目与资源精准匹配。</w:t>
      </w:r>
    </w:p>
    <w:p w14:paraId="079FD603">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529" w:name="_Toc13110"/>
      <w:bookmarkStart w:id="530" w:name="_Toc6671"/>
      <w:bookmarkStart w:id="531" w:name="_Toc5499"/>
      <w:r>
        <w:rPr>
          <w:rFonts w:hint="default" w:ascii="Times New Roman" w:hAnsi="Times New Roman" w:eastAsia="楷体" w:cs="Times New Roman"/>
          <w:sz w:val="32"/>
          <w:szCs w:val="32"/>
        </w:rPr>
        <w:t>第五节 激发各类经营主体活力</w:t>
      </w:r>
      <w:bookmarkEnd w:id="529"/>
      <w:bookmarkEnd w:id="530"/>
      <w:bookmarkEnd w:id="531"/>
    </w:p>
    <w:p w14:paraId="2F79C3B4">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强化国资国企支撑作用</w:t>
      </w:r>
      <w:r>
        <w:rPr>
          <w:rFonts w:hint="default" w:ascii="Times New Roman" w:hAnsi="Times New Roman" w:eastAsia="仿宋_GB2312" w:cs="Times New Roman"/>
          <w:sz w:val="32"/>
          <w:szCs w:val="32"/>
        </w:rPr>
        <w:t>。深化国资国企改革，健全以管资本为主的国资监管体制，构建协同高效国有资产监督体系，增强国有企业核心功能、提升核心竞争力。做大做强国有企业和国有资本，优化国有资产空间布局、产业布局、资本布局，推动国有资本资源更大力度支持重点区域、重点产业、重点项目。发挥国有资本作为“耐心资本”效能作用，支持全市主导产业、战略性新兴产业和未来产业发展。深入实施人才强企战略，加强市场化、专业化人才选配，构建国企人才矩阵。健全市场化经营体制，深入实施以岗位价值为基础、以绩效贡献为依据的薪酬分配机制。完善分类考核机制，引导企业提升价值创造能力，推动国有资产保值增值。</w:t>
      </w:r>
    </w:p>
    <w:p w14:paraId="4744F028">
      <w:pPr>
        <w:overflowPunct w:val="0"/>
        <w:adjustRightInd w:val="0"/>
        <w:spacing w:after="0" w:line="600" w:lineRule="exact"/>
        <w:ind w:firstLine="640" w:firstLineChars="200"/>
        <w:jc w:val="both"/>
        <w:rPr>
          <w:rFonts w:hint="default" w:ascii="Times New Roman" w:hAnsi="Times New Roman" w:eastAsia="仿宋_GB2312" w:cs="Times New Roman"/>
          <w:color w:val="000000"/>
          <w:sz w:val="32"/>
          <w:szCs w:val="32"/>
        </w:rPr>
      </w:pPr>
      <w:r>
        <w:rPr>
          <w:rFonts w:hint="default" w:ascii="Times New Roman" w:hAnsi="Times New Roman" w:eastAsia="楷体" w:cs="Times New Roman"/>
          <w:sz w:val="32"/>
          <w:szCs w:val="32"/>
        </w:rPr>
        <w:t>提升民营经济发展能级。</w:t>
      </w:r>
      <w:r>
        <w:rPr>
          <w:rFonts w:hint="default" w:ascii="Times New Roman" w:hAnsi="Times New Roman" w:eastAsia="仿宋_GB2312" w:cs="Times New Roman"/>
          <w:color w:val="000000"/>
          <w:sz w:val="32"/>
          <w:szCs w:val="32"/>
        </w:rPr>
        <w:t>落实民营经济促进法，深入破除市场准入壁垒，保障民营企业平等参与政府采购，公平享受金融、财税、土地、科技等普惠性政策。加大民间投资项目培育和引进力度，健全民营企业参与重大项目建设的长效机制，鼓励更多民营企业参与城市更新、产业发展、民生服务等领域项目建设和运营，促进更多新兴场景开放来激活投资。支持民营企业上市，力争在国家级、世界级企业榜单上实现新突破</w:t>
      </w:r>
      <w:r>
        <w:rPr>
          <w:rFonts w:hint="default" w:ascii="Times New Roman" w:hAnsi="Times New Roman" w:eastAsia="楷体" w:cs="Times New Roman"/>
          <w:sz w:val="32"/>
          <w:szCs w:val="32"/>
        </w:rPr>
        <w:t>。</w:t>
      </w:r>
      <w:r>
        <w:rPr>
          <w:rFonts w:hint="default" w:ascii="Times New Roman" w:hAnsi="Times New Roman" w:eastAsia="仿宋_GB2312" w:cs="Times New Roman"/>
          <w:color w:val="000000"/>
          <w:sz w:val="32"/>
          <w:szCs w:val="32"/>
        </w:rPr>
        <w:t>引导民营企业加大科技投入，鼓励企业牵头组建创新联合体，支持有能力的民企牵头承担重大技术攻关任务，推动创新资源向民营企业开放共享。加强新生代民营企业家培养，持续实施“昆玉计划”，挖掘宣扬一批扎根昆山、发展壮大的民营企业家典型。</w:t>
      </w:r>
    </w:p>
    <w:p w14:paraId="3BAC3C91">
      <w:pPr>
        <w:overflowPunct w:val="0"/>
        <w:spacing w:line="600" w:lineRule="exact"/>
        <w:rPr>
          <w:rFonts w:hint="default" w:ascii="Times New Roman" w:hAnsi="Times New Roman" w:eastAsia="方正大标宋简体" w:cs="Times New Roman"/>
          <w:kern w:val="44"/>
          <w:sz w:val="36"/>
          <w:szCs w:val="36"/>
        </w:rPr>
      </w:pPr>
      <w:r>
        <w:rPr>
          <w:rFonts w:hint="default" w:ascii="Times New Roman" w:hAnsi="Times New Roman" w:eastAsia="方正大标宋简体" w:cs="Times New Roman"/>
          <w:kern w:val="44"/>
          <w:sz w:val="36"/>
          <w:szCs w:val="36"/>
        </w:rPr>
        <w:br w:type="page"/>
      </w:r>
    </w:p>
    <w:p w14:paraId="533F2865">
      <w:pPr>
        <w:pStyle w:val="2"/>
        <w:widowControl/>
        <w:overflowPunct w:val="0"/>
        <w:autoSpaceDE w:val="0"/>
        <w:adjustRightInd w:val="0"/>
        <w:spacing w:before="156" w:beforeLines="50" w:after="156" w:afterLines="50" w:line="600" w:lineRule="exact"/>
        <w:jc w:val="center"/>
        <w:rPr>
          <w:rFonts w:hint="default" w:ascii="Times New Roman" w:hAnsi="Times New Roman" w:eastAsia="方正大标宋简体" w:cs="Times New Roman"/>
          <w:b w:val="0"/>
          <w:bCs w:val="0"/>
          <w:szCs w:val="36"/>
        </w:rPr>
      </w:pPr>
      <w:bookmarkStart w:id="532" w:name="_Toc3523"/>
      <w:bookmarkStart w:id="533" w:name="_Toc17475"/>
      <w:bookmarkStart w:id="534" w:name="_Toc21179"/>
      <w:r>
        <w:rPr>
          <w:rFonts w:hint="default" w:ascii="Times New Roman" w:hAnsi="Times New Roman" w:eastAsia="方正大标宋简体" w:cs="Times New Roman"/>
          <w:b w:val="0"/>
          <w:bCs w:val="0"/>
          <w:szCs w:val="36"/>
        </w:rPr>
        <w:t>第三篇 打造融通共赢的“开放之城”</w:t>
      </w:r>
      <w:bookmarkEnd w:id="532"/>
      <w:bookmarkEnd w:id="533"/>
      <w:bookmarkEnd w:id="534"/>
    </w:p>
    <w:p w14:paraId="49912453">
      <w:pPr>
        <w:overflowPunct w:val="0"/>
        <w:adjustRightInd w:val="0"/>
        <w:spacing w:before="156" w:beforeLines="50" w:after="156" w:afterLines="50" w:line="600" w:lineRule="exact"/>
        <w:jc w:val="center"/>
        <w:outlineLvl w:val="1"/>
        <w:rPr>
          <w:rFonts w:hint="default" w:ascii="Times New Roman" w:hAnsi="Times New Roman" w:eastAsia="黑体" w:cs="Times New Roman"/>
          <w:sz w:val="32"/>
          <w:szCs w:val="32"/>
        </w:rPr>
      </w:pPr>
      <w:bookmarkStart w:id="535" w:name="_Toc15837"/>
      <w:bookmarkStart w:id="536" w:name="_Toc1170"/>
      <w:bookmarkStart w:id="537" w:name="_Toc5472"/>
      <w:r>
        <w:rPr>
          <w:rFonts w:hint="default" w:ascii="Times New Roman" w:hAnsi="Times New Roman" w:eastAsia="黑体" w:cs="Times New Roman"/>
          <w:sz w:val="32"/>
          <w:szCs w:val="32"/>
        </w:rPr>
        <w:t>第七章 建强沪苏同城“第一站”</w:t>
      </w:r>
      <w:bookmarkEnd w:id="535"/>
      <w:bookmarkEnd w:id="536"/>
      <w:bookmarkEnd w:id="537"/>
    </w:p>
    <w:p w14:paraId="05554351">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充分发挥昆山毗邻上海区位优势，全面对接、融入上海“五个中心”建设，加快虹桥国际开放枢纽北向拓展带、“嘉昆太”协同创新核心圈等区域合作，推动昆山和上海实现产业“同链”、创新“同圈”、开放“同频”、生活“同城”。</w:t>
      </w:r>
    </w:p>
    <w:p w14:paraId="63658F80">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538" w:name="_Toc1759"/>
      <w:bookmarkStart w:id="539" w:name="_Toc1414"/>
      <w:bookmarkStart w:id="540" w:name="_Toc17825"/>
      <w:r>
        <w:rPr>
          <w:rFonts w:hint="default" w:ascii="Times New Roman" w:hAnsi="Times New Roman" w:eastAsia="楷体" w:cs="Times New Roman"/>
          <w:sz w:val="32"/>
          <w:szCs w:val="32"/>
        </w:rPr>
        <w:t>第一节 主动对接上海“五个中心”建设</w:t>
      </w:r>
      <w:bookmarkEnd w:id="538"/>
      <w:bookmarkEnd w:id="539"/>
      <w:bookmarkEnd w:id="540"/>
    </w:p>
    <w:p w14:paraId="7A9FE38F">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深化产业链供应链协同合作。</w:t>
      </w:r>
      <w:r>
        <w:rPr>
          <w:rFonts w:hint="default" w:ascii="Times New Roman" w:hAnsi="Times New Roman" w:eastAsia="仿宋_GB2312" w:cs="Times New Roman"/>
          <w:sz w:val="32"/>
          <w:szCs w:val="32"/>
        </w:rPr>
        <w:t>依托电子信息、装备制造、新能源汽车零部件、低空经济等产业基础，对接在沪链主企业、行业协会，共同组建产业发展联盟，助力昆山企业成为上海集成电路、人工智能、航空航天、未来汽车等世界级产业供应链伙伴，共同开展产品开发、技术创新、工艺升级、标准制定，实现从“供应订单”到“共创技术”深度绑定。紧密跟踪上海在生物制造、脑机接口、</w:t>
      </w:r>
      <w:r>
        <w:rPr>
          <w:rFonts w:hint="default" w:ascii="Times New Roman" w:hAnsi="Times New Roman" w:eastAsia="仿宋_GB2312" w:cs="Times New Roman"/>
          <w:sz w:val="32"/>
        </w:rPr>
        <w:t>第四代半导体、量子科技、第六代移动通信等新赛道布局，发挥昆山在成果转化、中试孵化、规模化生产方面优势，以各类创新园区为重点，探索建设一批“上海研发+昆山制造”产业化基地。</w:t>
      </w:r>
    </w:p>
    <w:p w14:paraId="51A1BA5C">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协同开展应用研究和技术攻关。</w:t>
      </w:r>
      <w:r>
        <w:rPr>
          <w:rFonts w:hint="default" w:ascii="Times New Roman" w:hAnsi="Times New Roman" w:eastAsia="仿宋_GB2312" w:cs="Times New Roman"/>
          <w:sz w:val="32"/>
        </w:rPr>
        <w:t>积极链接上海国家实验室、大科学设施等资源，支持有实力的企业、创新平台参与重大科研项目研发外包，鼓励昆山企业与上海高校、科研院所共建技术创新中心、创新联合体，合作开展技术攻关。引导上海企业参与昆山祖冲之攻关计划揭榜挂帅项目，为昆山企业和研发机构共享上海实验平台提供支持。加大力度</w:t>
      </w:r>
      <w:r>
        <w:rPr>
          <w:rFonts w:hint="default" w:ascii="Times New Roman" w:hAnsi="Times New Roman" w:eastAsia="仿宋_GB2312" w:cs="Times New Roman"/>
          <w:sz w:val="32"/>
          <w:szCs w:val="32"/>
        </w:rPr>
        <w:t>引入上海优质科技服务机构、技术经纪人，主动承接上海高校、科研机构成果本地转化。主动开放昆山在智慧城市、智能制造等方面应用场景，为上海新技术、新产品提供“首试首用”空间。</w:t>
      </w:r>
    </w:p>
    <w:p w14:paraId="5B27988E">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借力金融资本赋能转型升级。</w:t>
      </w:r>
      <w:r>
        <w:rPr>
          <w:rFonts w:hint="default" w:ascii="Times New Roman" w:hAnsi="Times New Roman" w:eastAsia="仿宋_GB2312" w:cs="Times New Roman"/>
          <w:sz w:val="32"/>
          <w:szCs w:val="32"/>
        </w:rPr>
        <w:t>加强对接上海知名基金管理人，联合上海头部基金共建并购基金，吸引境外资本在昆山设立试点基金，支持昆山企业海内外并购、创新拓链。深化与上海证券交易所合作，做好对昆山企业上市辅导。吸引上海各类金融机构在昆设立分支机构、后台服务中心等功能性部门。支持符合条件的全国性银行在昆设立金融资产投资公司，鼓励在昆落地金融资产投资公司股权投资试点基金。支持企业对接上海环境能源交易所，参与碳排放权交易。</w:t>
      </w:r>
    </w:p>
    <w:p w14:paraId="775F03EE">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借势做优高端人才综合引育。</w:t>
      </w:r>
      <w:r>
        <w:rPr>
          <w:rFonts w:hint="default" w:ascii="Times New Roman" w:hAnsi="Times New Roman" w:eastAsia="仿宋_GB2312" w:cs="Times New Roman"/>
          <w:sz w:val="32"/>
          <w:szCs w:val="32"/>
        </w:rPr>
        <w:t>发挥沪昆科创中心“前哨”作用，高标准打造上海“人才科创会客厅”。高质量举办上海高校“昆山日”活动，打造集城市推介、产学研对接、校园招聘于一体的引才矩阵。打造人才“昆山行”品牌活动，邀请在沪人才、高校学子等来昆考察体验。用好知名高校上海校友会、上海各类商协会等优质资源，聘任一批昆山人才科创合伙人。探索沪昆两地人才评价互认机制，对上海引进和认定的高层次人才，实行“免评即认”，来昆服务的可享受昆山同等人才待遇。精准对接上海医疗、交通、科教等优质资源，为人才提供与上海无缝衔接的高品质服务生态。</w:t>
      </w:r>
    </w:p>
    <w:p w14:paraId="695F29B3">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541" w:name="_Toc31170"/>
      <w:bookmarkStart w:id="542" w:name="_Toc1199"/>
      <w:bookmarkStart w:id="543" w:name="_Toc28437"/>
      <w:r>
        <w:rPr>
          <w:rFonts w:hint="default" w:ascii="Times New Roman" w:hAnsi="Times New Roman" w:eastAsia="楷体" w:cs="Times New Roman"/>
          <w:sz w:val="32"/>
          <w:szCs w:val="32"/>
        </w:rPr>
        <w:t>第二节 深化重点功能载体对接合作</w:t>
      </w:r>
      <w:bookmarkEnd w:id="541"/>
      <w:bookmarkEnd w:id="542"/>
      <w:bookmarkEnd w:id="543"/>
    </w:p>
    <w:p w14:paraId="74C3F4B8">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协同推进虹桥枢纽北向拓展带建设。</w:t>
      </w:r>
      <w:r>
        <w:rPr>
          <w:rFonts w:hint="default" w:ascii="Times New Roman" w:hAnsi="Times New Roman" w:eastAsia="仿宋_GB2312" w:cs="Times New Roman"/>
          <w:sz w:val="32"/>
          <w:szCs w:val="32"/>
        </w:rPr>
        <w:t>抢抓虹桥国际中央商务区发展机遇，深度承接虹桥资源辐射，打造“虹桥北向活力源”。主动对接中国进博会常年展示交易平台和进口商品展示交易中心，加强海外品牌商招引，推动参展商变投资商、采购商变贸易商。深入推进虹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花桥“双桥联动”和锦淀周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大虹桥联动，加强与虹桥电商直播中心、海外贸易中心、虹桥国际论坛等对接，引导MICE机构、贸易促进机构、电商直播企业、专业服务商等落地，推动虹桥咖啡港品牌企业到昆山设立运行总部、研发中心。锚定虹桥数字新经济、生命新科技、低碳新能源、汽车新势力发展方向，加强与新虹桥国际医学中心、虹桥国际人才港等科创载体合作，建立两地人才柔性流动机制、科创项目双向孵化机制。</w:t>
      </w:r>
    </w:p>
    <w:p w14:paraId="430BBE37">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深化嘉昆太协同创新核心圈建设。</w:t>
      </w:r>
      <w:r>
        <w:rPr>
          <w:rFonts w:hint="default" w:ascii="Times New Roman" w:hAnsi="Times New Roman" w:eastAsia="仿宋_GB2312" w:cs="Times New Roman"/>
          <w:sz w:val="32"/>
          <w:szCs w:val="32"/>
        </w:rPr>
        <w:t>协同完善嘉昆太三方议事决策和执行工作机制，常态化举办嘉昆太协同创新核心圈轮值会议。深化“嘉昆太新能源汽车产业联盟”“嘉昆太低空经济产业发展联盟”等合作，共建跨省智能网联汽车道路测试区，探索举办长三角智能汽车和智能终端产业峰会，共同打造长三角汽车产业集群、智能终端集群和长三角北翼物流贸易中心。借助嘉定“十一所三中心二基地”科研院所资</w:t>
      </w:r>
      <w:r>
        <w:rPr>
          <w:rFonts w:hint="default" w:ascii="Times New Roman" w:hAnsi="Times New Roman" w:eastAsia="仿宋" w:cs="Times New Roman"/>
          <w:color w:val="000000" w:themeColor="text1"/>
          <w:sz w:val="32"/>
          <w:szCs w:val="32"/>
          <w:shd w:val="clear" w:color="auto" w:fill="FFFFFF"/>
          <w14:textFill>
            <w14:solidFill>
              <w14:schemeClr w14:val="tx1"/>
            </w14:solidFill>
          </w14:textFill>
        </w:rPr>
        <w:t>源，</w:t>
      </w:r>
      <w:r>
        <w:rPr>
          <w:rFonts w:hint="default" w:ascii="Times New Roman" w:hAnsi="Times New Roman" w:eastAsia="仿宋_GB2312" w:cs="Times New Roman"/>
          <w:sz w:val="32"/>
          <w:szCs w:val="32"/>
        </w:rPr>
        <w:t>打造嘉昆太协同创新联合体，推动三地科研仪器等资源开放共享。协同推进市场监管标准统一，建立“嘉昆太质量认证联盟”。加强嘉昆太区域信用合作。</w:t>
      </w:r>
    </w:p>
    <w:p w14:paraId="4456CE8F">
      <w:pPr>
        <w:widowControl/>
        <w:overflowPunct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加强功能载体产业链深度合作。</w:t>
      </w:r>
      <w:r>
        <w:rPr>
          <w:rFonts w:hint="default" w:ascii="Times New Roman" w:hAnsi="Times New Roman" w:eastAsia="仿宋_GB2312" w:cs="Times New Roman"/>
          <w:sz w:val="32"/>
          <w:szCs w:val="32"/>
        </w:rPr>
        <w:t>支持立讯科学园与华为练秋湖研发中心开展“创新+孵化”“研发+制造”协同，形成更为紧密的产业链合作关系。承接上实集团、上海九院等医疗美容资源，建设沪昆整形医学及抗衰产业园、“中国眼界”科技产业示范园，打造“医疗+健康管理+美丽服务”的健康医疗综合体。深化与张江、紫竹、漕河泾等上海一流园区在载体搭建、成果转化等方面合作，建好紫竹麦垛总部科创产业园、</w:t>
      </w:r>
      <w:r>
        <w:rPr>
          <w:rFonts w:hint="default" w:ascii="Times New Roman" w:hAnsi="Times New Roman" w:eastAsia="仿宋_GB2312" w:cs="Times New Roman"/>
          <w:sz w:val="32"/>
          <w:szCs w:val="32"/>
          <w:lang w:bidi="ar"/>
        </w:rPr>
        <w:t>临沪先进制造产业园、</w:t>
      </w:r>
      <w:r>
        <w:rPr>
          <w:rFonts w:hint="default" w:ascii="Times New Roman" w:hAnsi="Times New Roman" w:eastAsia="仿宋_GB2312" w:cs="Times New Roman"/>
          <w:sz w:val="32"/>
          <w:szCs w:val="32"/>
        </w:rPr>
        <w:t>非凡生命科学产业创新中心等两地合作特色载体。推动昆山全球数字创新港、鑫欣科创综合体与张江人工智能岛、徐汇“模速空间”等建立对接合作机制，引入一批技术领先、场景落地能力突出的人工智能企业。</w:t>
      </w:r>
    </w:p>
    <w:p w14:paraId="310B39E9">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544" w:name="_Toc10441"/>
      <w:bookmarkStart w:id="545" w:name="_Toc18487"/>
      <w:bookmarkStart w:id="546" w:name="_Toc32431"/>
      <w:r>
        <w:rPr>
          <w:rFonts w:hint="default" w:ascii="Times New Roman" w:hAnsi="Times New Roman" w:eastAsia="楷体" w:cs="Times New Roman"/>
          <w:sz w:val="32"/>
          <w:szCs w:val="32"/>
        </w:rPr>
        <w:t>第三节 推动公共服务和治理同城化</w:t>
      </w:r>
      <w:bookmarkEnd w:id="544"/>
      <w:bookmarkEnd w:id="545"/>
      <w:bookmarkEnd w:id="546"/>
    </w:p>
    <w:p w14:paraId="43D66BCE">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加强公共服务便利共享。</w:t>
      </w:r>
      <w:r>
        <w:rPr>
          <w:rFonts w:hint="default" w:ascii="Times New Roman" w:hAnsi="Times New Roman" w:eastAsia="仿宋_GB2312" w:cs="Times New Roman"/>
          <w:sz w:val="32"/>
          <w:szCs w:val="32"/>
        </w:rPr>
        <w:t>推动教育、医疗等基本公共服务制度协同、政务服务“跨省通办”。深化与华师大、上师大等高水平大学地校合作，促进优质教育资源开放共享。深化与复旦大学附属儿科医院、上海市精神卫生中心等国家医学中心合作，补齐儿科、心理健康和精神卫生服务领域短板。高水平运行上海高级专家（昆山）会诊服务中心，拓展瑞金智慧医疗联合体远程门诊服务，让群众在“家门口”就能享受到优质医疗服务。扩大异地购药直接刷卡结算功能范围。鼓励养老机构与上海三甲医院合作成立医疗养老联合体，支持有条件的养老机构打造成为上海合作医院定点康复机构。</w:t>
      </w:r>
    </w:p>
    <w:p w14:paraId="749D16C3">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推进基础设施互联互通。</w:t>
      </w:r>
      <w:r>
        <w:rPr>
          <w:rFonts w:hint="default" w:ascii="Times New Roman" w:hAnsi="Times New Roman" w:eastAsia="仿宋_GB2312" w:cs="Times New Roman"/>
          <w:sz w:val="32"/>
          <w:szCs w:val="32"/>
        </w:rPr>
        <w:t>立足区域节点枢纽城市定位，推动沪苏昆交通“一张网”建设，完善苏淀沪城际铁路稳定线位方案、争取尽早开工。深度融入上海国际航运中心建设，加快推进吴淞江（苏申内港线）整治，畅通高等级千吨级集装箱运输通道，实现与外高桥港、洋山港等重要港口的直达联系。结合沪苏昆水上旅游需求，全面提升航线个性化、定制化服务，探索开通苏沪水上航线。高质量融入“大虹桥”国际综合交通枢纽建设，结合沪常高速改扩建等工程，推进沪昆跨区域道路对接研究，系统优化沪苏昆快达直连格局，促进区域间货流、交通流高效流动。强化智慧服务区域联动，推动昆山交通码在长三角乘坐公交、地铁“一码通行”。织密沪昆低空通勤航线，开辟沪昆低空物流航线。</w:t>
      </w:r>
    </w:p>
    <w:p w14:paraId="2877893F">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构建跨界共治长效机制。</w:t>
      </w:r>
      <w:r>
        <w:rPr>
          <w:rFonts w:hint="default" w:ascii="Times New Roman" w:hAnsi="Times New Roman" w:eastAsia="仿宋_GB2312" w:cs="Times New Roman"/>
          <w:sz w:val="32"/>
          <w:szCs w:val="32"/>
        </w:rPr>
        <w:t>深化嘉昆太三地大气污染联防联控、“双碳”工作协同，加强区域大气环境质量协同监管、重污染天气联合应对。推进吴淞江整治重大工程建设，健全昆青淀山湖水环境联保共治机制，探索联合青浦、吴江开展淀山湖水生态保护和修复。深化固体废物污染联合治理。建立跨界县（市、区）两级生态环境协作、互查执法工作机制，联合开展大气、水、土污染防治等专项检查和监管惩戒。加强城市管理联动、边界联检和信息共享，健全突发公共事件联防联控和应急救援机制。强化跨区域社会治理高效联动，共同建设平安长三角。</w:t>
      </w:r>
    </w:p>
    <w:p w14:paraId="34A3F591">
      <w:pPr>
        <w:overflowPunct w:val="0"/>
        <w:adjustRightInd w:val="0"/>
        <w:spacing w:before="156" w:beforeLines="50" w:after="156" w:afterLines="50" w:line="600" w:lineRule="exact"/>
        <w:jc w:val="center"/>
        <w:outlineLvl w:val="1"/>
        <w:rPr>
          <w:rFonts w:hint="default" w:ascii="Times New Roman" w:hAnsi="Times New Roman" w:eastAsia="黑体" w:cs="Times New Roman"/>
          <w:sz w:val="32"/>
          <w:szCs w:val="32"/>
        </w:rPr>
      </w:pPr>
      <w:bookmarkStart w:id="547" w:name="_Toc12235"/>
      <w:bookmarkStart w:id="548" w:name="_Toc348"/>
      <w:bookmarkStart w:id="549" w:name="_Toc8414"/>
      <w:r>
        <w:rPr>
          <w:rFonts w:hint="default" w:ascii="Times New Roman" w:hAnsi="Times New Roman" w:eastAsia="黑体" w:cs="Times New Roman"/>
          <w:sz w:val="32"/>
          <w:szCs w:val="32"/>
        </w:rPr>
        <w:t>第八章 打造对台合作“第一城”</w:t>
      </w:r>
      <w:bookmarkEnd w:id="547"/>
      <w:bookmarkEnd w:id="548"/>
      <w:bookmarkEnd w:id="549"/>
    </w:p>
    <w:p w14:paraId="0E497426">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充分发挥昆山试验区、昆山金改区“双区联动”叠加效应，积极争取先行先试，加强昆台融合发展体制机制创新、产业协同与人才交流，吸引高质量新台资项目，以政策同享、服务同质、心灵同频为导向，打造两岸融合发展人文经济高地，构建昆台全方位融合、高质量发展的示范样板。</w:t>
      </w:r>
    </w:p>
    <w:p w14:paraId="6D4F865D">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550" w:name="_Toc13030"/>
      <w:bookmarkStart w:id="551" w:name="_Toc17132"/>
      <w:bookmarkStart w:id="552" w:name="_Toc1624"/>
      <w:r>
        <w:rPr>
          <w:rFonts w:hint="default" w:ascii="Times New Roman" w:hAnsi="Times New Roman" w:eastAsia="楷体" w:cs="Times New Roman"/>
          <w:sz w:val="32"/>
          <w:szCs w:val="32"/>
        </w:rPr>
        <w:t>第一节 拓展昆台产业科技全链合作</w:t>
      </w:r>
      <w:bookmarkEnd w:id="550"/>
      <w:bookmarkEnd w:id="551"/>
      <w:bookmarkEnd w:id="552"/>
    </w:p>
    <w:p w14:paraId="6A8ECB64">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加快推动台企转型升级。</w:t>
      </w:r>
      <w:r>
        <w:rPr>
          <w:rFonts w:hint="default" w:ascii="Times New Roman" w:hAnsi="Times New Roman" w:eastAsia="仿宋_GB2312" w:cs="Times New Roman"/>
          <w:sz w:val="32"/>
          <w:szCs w:val="32"/>
        </w:rPr>
        <w:t>鼓励台资企业加大技术、装备、人才等关键要素投入，联合产业链关联企业，组建创新联合体，加快技术迭代和产品升级，实现台资规上工业企业研发机构动态全覆盖。引导台企向总部升级，设立综合性总部和研发、贸易、结算等功能性机构。系统梳理优质台企上下游关系，推动台企向高端市场布局。支持制造业台企向研发、设计和市场营销、售后服务、数据服务等产业链两端延伸。引导台企实施新一轮智改数转网联，建设一批智能工厂、智能车间，争创“灯塔工厂”等标杆项目。加强对台资老旧工业载体转型盘活，进一步提升效能。</w:t>
      </w:r>
    </w:p>
    <w:p w14:paraId="5E658E46">
      <w:pPr>
        <w:overflowPunct w:val="0"/>
        <w:adjustRightInd w:val="0"/>
        <w:spacing w:after="0" w:line="600" w:lineRule="exact"/>
        <w:ind w:firstLine="640" w:firstLineChars="200"/>
        <w:jc w:val="both"/>
        <w:rPr>
          <w:rFonts w:hint="default" w:ascii="Times New Roman" w:hAnsi="Times New Roman" w:eastAsia="仿宋_GB2312" w:cs="Times New Roman"/>
          <w:color w:val="000000"/>
          <w:sz w:val="32"/>
          <w:szCs w:val="32"/>
        </w:rPr>
      </w:pPr>
      <w:r>
        <w:rPr>
          <w:rFonts w:hint="default" w:ascii="Times New Roman" w:hAnsi="Times New Roman" w:eastAsia="楷体" w:cs="Times New Roman"/>
          <w:sz w:val="32"/>
          <w:szCs w:val="32"/>
        </w:rPr>
        <w:t>有力有效稳存量拓增量。</w:t>
      </w:r>
      <w:r>
        <w:rPr>
          <w:rFonts w:hint="default" w:ascii="Times New Roman" w:hAnsi="Times New Roman" w:eastAsia="仿宋_GB2312" w:cs="Times New Roman"/>
          <w:color w:val="000000"/>
          <w:sz w:val="32"/>
          <w:szCs w:val="32"/>
        </w:rPr>
        <w:t>挖掘台资留存利润“富矿”，鼓励存量台企在优势赛道寻找新的增量空间，支持台企就地增资扩产。帮助台企积极应对国际经贸摩擦，全力稳住台资龙头企业，鼓励台企将更多产能向昆山转移，将新项目、新产线、新产品在昆山布局。到2030年，新增百亿级台企2家、50亿级台企5家、20亿级台企10家。用好台湾工商团体、行业协会资源，在</w:t>
      </w:r>
      <w:r>
        <w:rPr>
          <w:rFonts w:hint="default" w:ascii="Times New Roman" w:hAnsi="Times New Roman" w:eastAsia="仿宋_GB2312" w:cs="Times New Roman"/>
          <w:sz w:val="32"/>
          <w:szCs w:val="32"/>
        </w:rPr>
        <w:t>新一代信息技术、生命康养、智能制造、数字创意、绿色能源、</w:t>
      </w:r>
      <w:r>
        <w:rPr>
          <w:rFonts w:hint="default" w:ascii="Times New Roman" w:hAnsi="Times New Roman" w:eastAsia="仿宋_GB2312" w:cs="Times New Roman"/>
          <w:color w:val="000000"/>
          <w:sz w:val="32"/>
          <w:szCs w:val="32"/>
        </w:rPr>
        <w:t>高端食品、现代文娱、服务贸易</w:t>
      </w:r>
      <w:r>
        <w:rPr>
          <w:rFonts w:hint="default" w:ascii="Times New Roman" w:hAnsi="Times New Roman" w:eastAsia="仿宋_GB2312" w:cs="Times New Roman"/>
          <w:sz w:val="32"/>
          <w:szCs w:val="32"/>
        </w:rPr>
        <w:t>等领域拓展合作</w:t>
      </w:r>
      <w:r>
        <w:rPr>
          <w:rFonts w:hint="default" w:ascii="Times New Roman" w:hAnsi="Times New Roman" w:eastAsia="仿宋_GB2312" w:cs="Times New Roman"/>
          <w:color w:val="000000"/>
          <w:sz w:val="32"/>
          <w:szCs w:val="32"/>
        </w:rPr>
        <w:t>，到2030年，争取新增台资投资总额超20亿美元。</w:t>
      </w:r>
    </w:p>
    <w:p w14:paraId="4378F36C">
      <w:pPr>
        <w:overflowPunct w:val="0"/>
        <w:adjustRightInd w:val="0"/>
        <w:spacing w:after="0" w:line="600" w:lineRule="exact"/>
        <w:ind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楷体" w:cs="Times New Roman"/>
          <w:sz w:val="32"/>
          <w:szCs w:val="32"/>
        </w:rPr>
        <w:t>鼓励台企拓展内外市场。</w:t>
      </w:r>
      <w:r>
        <w:rPr>
          <w:rFonts w:hint="default" w:ascii="Times New Roman" w:hAnsi="Times New Roman" w:eastAsia="仿宋_GB2312" w:cs="Times New Roman"/>
          <w:kern w:val="0"/>
          <w:sz w:val="32"/>
          <w:szCs w:val="32"/>
        </w:rPr>
        <w:t>围绕台企产业配套需求、产品特性，搭建产业合作对接平台，分链条、多批次举办产业对接交流活动，助力台企融入大陆头部厂商供应链体系。支持台企参加上海国际半导体展览会、中国国际工业博览会等各类专业展会，鼓励“链主”台企举办专业类展会，综合运用线上线下平台，帮助台企销售新产品、开拓新市场。支持台企根据内销市场特点，制定品牌发展计划，强化品牌塑造推广。引导台企拓展“一带一路”沿线、中东欧、中亚、南亚、拉美等新兴市场和“南方市场”。</w:t>
      </w:r>
    </w:p>
    <w:p w14:paraId="0036CDB9">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553" w:name="_Toc22440"/>
      <w:bookmarkStart w:id="554" w:name="_Toc11275"/>
      <w:bookmarkStart w:id="555" w:name="_Toc9184"/>
      <w:r>
        <w:rPr>
          <w:rFonts w:hint="default" w:ascii="Times New Roman" w:hAnsi="Times New Roman" w:eastAsia="楷体" w:cs="Times New Roman"/>
          <w:sz w:val="32"/>
          <w:szCs w:val="32"/>
        </w:rPr>
        <w:t>第二节 深化重大改革创新平台建设</w:t>
      </w:r>
      <w:bookmarkEnd w:id="553"/>
      <w:bookmarkEnd w:id="554"/>
      <w:bookmarkEnd w:id="555"/>
    </w:p>
    <w:p w14:paraId="26A83D73">
      <w:pPr>
        <w:overflowPunct w:val="0"/>
        <w:adjustRightInd w:val="0"/>
        <w:spacing w:after="0" w:line="600" w:lineRule="exact"/>
        <w:ind w:firstLine="640" w:firstLineChars="200"/>
        <w:jc w:val="both"/>
        <w:rPr>
          <w:rFonts w:hint="default" w:ascii="Times New Roman" w:hAnsi="Times New Roman" w:eastAsia="仿宋_GB2312" w:cs="Times New Roman"/>
          <w:color w:val="000000"/>
          <w:sz w:val="32"/>
          <w:szCs w:val="32"/>
        </w:rPr>
      </w:pPr>
      <w:r>
        <w:rPr>
          <w:rFonts w:hint="default" w:ascii="Times New Roman" w:hAnsi="Times New Roman" w:eastAsia="楷体" w:cs="Times New Roman"/>
          <w:sz w:val="32"/>
          <w:szCs w:val="32"/>
        </w:rPr>
        <w:t>放大昆山试验区试点成效。</w:t>
      </w:r>
      <w:r>
        <w:rPr>
          <w:rFonts w:hint="default" w:ascii="Times New Roman" w:hAnsi="Times New Roman" w:eastAsia="仿宋_GB2312" w:cs="Times New Roman"/>
          <w:color w:val="000000"/>
          <w:sz w:val="32"/>
          <w:szCs w:val="32"/>
        </w:rPr>
        <w:t>抓好昆山试验区部省际联席会议成果清单化落地、全流程评估，总结形成一批具有示范推广价值的改革试点举措，为深化两岸各领域融合发展提供示范样板。聚焦</w:t>
      </w:r>
      <w:r>
        <w:rPr>
          <w:rFonts w:hint="default" w:ascii="Times New Roman" w:hAnsi="Times New Roman" w:eastAsia="仿宋_GB2312" w:cs="Times New Roman"/>
          <w:sz w:val="32"/>
          <w:szCs w:val="32"/>
        </w:rPr>
        <w:t>两岸产业合作、金融改革创新、投资贸易便利化、民间交流交往</w:t>
      </w:r>
      <w:r>
        <w:rPr>
          <w:rFonts w:hint="default" w:ascii="Times New Roman" w:hAnsi="Times New Roman" w:eastAsia="仿宋_GB2312" w:cs="Times New Roman"/>
          <w:color w:val="000000"/>
          <w:sz w:val="32"/>
          <w:szCs w:val="32"/>
        </w:rPr>
        <w:t>等领域加大政策研发力度，积极争取赋予昆山试验区更多先行先试政策，为昆山台资发展、台企转型、台胞生活营造更优环境。</w:t>
      </w:r>
    </w:p>
    <w:p w14:paraId="3E33607C">
      <w:pPr>
        <w:numPr>
          <w:ilvl w:val="255"/>
          <w:numId w:val="0"/>
        </w:numPr>
        <w:wordWrap w:val="0"/>
        <w:overflowPunct w:val="0"/>
        <w:adjustRightInd w:val="0"/>
        <w:spacing w:after="0" w:line="600" w:lineRule="exact"/>
        <w:ind w:firstLine="640" w:firstLineChars="200"/>
        <w:jc w:val="both"/>
        <w:rPr>
          <w:rFonts w:hint="default" w:ascii="Times New Roman" w:hAnsi="Times New Roman" w:eastAsia="仿宋_GB2312" w:cs="Times New Roman"/>
          <w:color w:val="000000"/>
          <w:sz w:val="32"/>
          <w:szCs w:val="32"/>
        </w:rPr>
      </w:pPr>
      <w:r>
        <w:rPr>
          <w:rFonts w:hint="default" w:ascii="Times New Roman" w:hAnsi="Times New Roman" w:eastAsia="楷体" w:cs="Times New Roman"/>
          <w:sz w:val="32"/>
          <w:szCs w:val="32"/>
        </w:rPr>
        <w:t>构建昆山金改区发展新格局。</w:t>
      </w:r>
      <w:r>
        <w:rPr>
          <w:rFonts w:hint="default" w:ascii="Times New Roman" w:hAnsi="Times New Roman" w:eastAsia="仿宋_GB2312" w:cs="Times New Roman"/>
          <w:color w:val="000000"/>
          <w:sz w:val="32"/>
          <w:szCs w:val="32"/>
        </w:rPr>
        <w:t>落实国家部委赋予的各项金融支持政策，借鉴自贸区在金融开放、跨境资本流动等领域成熟经验，争取在两岸金融合作、跨境金融创新等方面先行先试。</w:t>
      </w:r>
      <w:r>
        <w:rPr>
          <w:rFonts w:hint="default" w:ascii="Times New Roman" w:hAnsi="Times New Roman" w:eastAsia="仿宋_GB2312" w:cs="Times New Roman"/>
          <w:sz w:val="32"/>
          <w:szCs w:val="32"/>
        </w:rPr>
        <w:t>促进跨境贸易和投融资便利化，深化资本项目外汇业务创新试点和跨境贸易投资高水平开放试点。</w:t>
      </w:r>
      <w:r>
        <w:rPr>
          <w:rFonts w:hint="default" w:ascii="Times New Roman" w:hAnsi="Times New Roman" w:eastAsia="仿宋_GB2312" w:cs="Times New Roman"/>
          <w:color w:val="000000"/>
          <w:sz w:val="32"/>
          <w:szCs w:val="32"/>
        </w:rPr>
        <w:t>用好昆山金改区“产金结合”政策集成优势，探索申设两岸合资法人金融机构，探索设立市场化母基金、S基金等产业子基金，扩大QFLP试点优势。推进跨境人民币使用便利化，支持在昆数字人民币运营试点银行参与多边央行数字货币桥项目。</w:t>
      </w:r>
    </w:p>
    <w:p w14:paraId="0D553911">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556" w:name="_Toc18925"/>
      <w:bookmarkStart w:id="557" w:name="_Toc15294"/>
      <w:bookmarkStart w:id="558" w:name="_Toc2602"/>
      <w:r>
        <w:rPr>
          <w:rFonts w:hint="default" w:ascii="Times New Roman" w:hAnsi="Times New Roman" w:eastAsia="楷体" w:cs="Times New Roman"/>
          <w:sz w:val="32"/>
          <w:szCs w:val="32"/>
        </w:rPr>
        <w:t>第三节 打造两岸融合发展示范区</w:t>
      </w:r>
      <w:bookmarkEnd w:id="556"/>
      <w:bookmarkEnd w:id="557"/>
      <w:bookmarkEnd w:id="558"/>
    </w:p>
    <w:p w14:paraId="00EB126B">
      <w:pPr>
        <w:overflowPunct w:val="0"/>
        <w:adjustRightInd w:val="0"/>
        <w:spacing w:after="0" w:line="600" w:lineRule="exact"/>
        <w:ind w:firstLine="640" w:firstLineChars="200"/>
        <w:jc w:val="both"/>
        <w:rPr>
          <w:rFonts w:hint="default" w:ascii="Times New Roman" w:hAnsi="Times New Roman" w:eastAsia="仿宋_GB2312" w:cs="Times New Roman"/>
          <w:color w:val="000000"/>
          <w:sz w:val="32"/>
          <w:szCs w:val="32"/>
        </w:rPr>
      </w:pPr>
      <w:r>
        <w:rPr>
          <w:rFonts w:hint="default" w:ascii="Times New Roman" w:hAnsi="Times New Roman" w:eastAsia="楷体" w:cs="Times New Roman"/>
          <w:sz w:val="32"/>
          <w:szCs w:val="32"/>
        </w:rPr>
        <w:t>用心用情打造台胞“第二故乡”。</w:t>
      </w:r>
      <w:r>
        <w:rPr>
          <w:rFonts w:hint="default" w:ascii="Times New Roman" w:hAnsi="Times New Roman" w:eastAsia="仿宋_GB2312" w:cs="Times New Roman"/>
          <w:color w:val="000000"/>
          <w:sz w:val="32"/>
          <w:szCs w:val="32"/>
        </w:rPr>
        <w:t>高标准推进慧聚广场片区功能提升，丰富“宝岛又一村”文旅商业街业态，提升台胞文体休闲、餐饮娱乐、养老生活等服务保障水平。创新形式办好海峡两岸中秋灯会、昆台文化交流月、“昆山妈祖杯”慢速垒球赛等品牌活动，挖掘全市产业及文体资源，拓展昆台两地行会协会、专业院校等民间交流渠道。完善两岸青创基地服务功能，办好两岸青年企业家菁英论坛、两岸新锐设计竞赛·华灿奖、台湾大学生实习特训营，为台湾青年来昆就业创业提供支持，吸引更多台湾青年“首来族”，让昆山成为台青筑梦向往地。</w:t>
      </w:r>
    </w:p>
    <w:p w14:paraId="7D24565D">
      <w:pPr>
        <w:overflowPunct w:val="0"/>
        <w:adjustRightInd w:val="0"/>
        <w:spacing w:after="0" w:line="600" w:lineRule="exact"/>
        <w:ind w:firstLine="640" w:firstLineChars="200"/>
        <w:jc w:val="both"/>
        <w:rPr>
          <w:rFonts w:hint="default" w:ascii="Times New Roman" w:hAnsi="Times New Roman" w:eastAsia="仿宋_GB2312" w:cs="Times New Roman"/>
          <w:color w:val="000000"/>
          <w:sz w:val="32"/>
          <w:szCs w:val="32"/>
        </w:rPr>
      </w:pPr>
      <w:r>
        <w:rPr>
          <w:rFonts w:hint="default" w:ascii="Times New Roman" w:hAnsi="Times New Roman" w:eastAsia="楷体" w:cs="Times New Roman"/>
          <w:sz w:val="32"/>
          <w:szCs w:val="32"/>
        </w:rPr>
        <w:t>率先推进台商台胞“同城待遇”。</w:t>
      </w:r>
      <w:r>
        <w:rPr>
          <w:rFonts w:hint="default" w:ascii="Times New Roman" w:hAnsi="Times New Roman" w:eastAsia="仿宋_GB2312" w:cs="Times New Roman"/>
          <w:color w:val="000000"/>
          <w:sz w:val="32"/>
          <w:szCs w:val="32"/>
        </w:rPr>
        <w:t>优化台商座谈会、挂钩联系走访、台协会长分区行等服务机制，提升台胞台企一站式服务中心质效，构建台商台胞服务全流程体系。强化台商台胞合法权益保护，提升台商台胞归属感与幸福感。引导台胞台企参与城市片区规划建设，共享城市发展成果。争取昆台全域融合、台胞福祉保障等领域改革试点，着力在扩大直接采认中国台湾地区职业技能资格比照认定范围、台籍护士来昆短期执业、扩大台胞居住证应用场景等方面寻求突破。探索支持台胞台企与大陆银行组建信用担保机构，推进两岸民间征信合作，破除中小台企信用隐性壁垒。</w:t>
      </w:r>
    </w:p>
    <w:p w14:paraId="5D49697C">
      <w:pPr>
        <w:overflowPunct w:val="0"/>
        <w:adjustRightInd w:val="0"/>
        <w:spacing w:before="156" w:beforeLines="50" w:after="156" w:afterLines="50" w:line="600" w:lineRule="exact"/>
        <w:jc w:val="center"/>
        <w:outlineLvl w:val="1"/>
        <w:rPr>
          <w:rFonts w:hint="default" w:ascii="Times New Roman" w:hAnsi="Times New Roman" w:eastAsia="仿宋_GB2312" w:cs="Times New Roman"/>
          <w:sz w:val="32"/>
          <w:szCs w:val="32"/>
        </w:rPr>
      </w:pPr>
      <w:bookmarkStart w:id="559" w:name="_Toc12184"/>
      <w:bookmarkStart w:id="560" w:name="_Toc29512"/>
      <w:bookmarkStart w:id="561" w:name="_Toc31874"/>
      <w:r>
        <w:rPr>
          <w:rFonts w:hint="default" w:ascii="Times New Roman" w:hAnsi="Times New Roman" w:eastAsia="黑体" w:cs="Times New Roman"/>
          <w:sz w:val="32"/>
          <w:szCs w:val="32"/>
        </w:rPr>
        <w:t>第九章 建设内外开放链接“新节点”</w:t>
      </w:r>
      <w:bookmarkEnd w:id="559"/>
      <w:bookmarkEnd w:id="560"/>
      <w:bookmarkEnd w:id="561"/>
    </w:p>
    <w:p w14:paraId="683A5582">
      <w:pPr>
        <w:overflowPunct w:val="0"/>
        <w:adjustRightInd w:val="0"/>
        <w:spacing w:after="0"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主动服务全省“1+3”重点功能区建设，强化与长三角重要节点城市、京津冀、粤港澳等重点区域战略对接，全面融入国内国际双循环</w:t>
      </w:r>
      <w:r>
        <w:rPr>
          <w:rFonts w:hint="default" w:ascii="Times New Roman" w:hAnsi="Times New Roman" w:eastAsia="仿宋_GB2312" w:cs="Times New Roman"/>
          <w:color w:val="000000"/>
          <w:sz w:val="32"/>
          <w:szCs w:val="31"/>
        </w:rPr>
        <w:t>，加快推动外贸结构向高技术、高附加值跃升，实现外资来源多元化、利用方式多样化，推进高水平“走出去”，努力</w:t>
      </w:r>
      <w:r>
        <w:rPr>
          <w:rFonts w:hint="default" w:ascii="Times New Roman" w:hAnsi="Times New Roman" w:eastAsia="仿宋_GB2312" w:cs="Times New Roman"/>
          <w:sz w:val="32"/>
          <w:szCs w:val="32"/>
        </w:rPr>
        <w:t>构建多层次、宽领域、高效能的合作发展新格局。</w:t>
      </w:r>
    </w:p>
    <w:p w14:paraId="1F25881D">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562" w:name="_Toc21635"/>
      <w:bookmarkStart w:id="563" w:name="_Toc32174"/>
      <w:bookmarkStart w:id="564" w:name="_Toc28201"/>
      <w:r>
        <w:rPr>
          <w:rFonts w:hint="default" w:ascii="Times New Roman" w:hAnsi="Times New Roman" w:eastAsia="楷体" w:cs="Times New Roman"/>
          <w:sz w:val="32"/>
          <w:szCs w:val="32"/>
        </w:rPr>
        <w:t>第一节 加强区域一体化合作</w:t>
      </w:r>
      <w:bookmarkEnd w:id="562"/>
      <w:bookmarkEnd w:id="563"/>
      <w:bookmarkEnd w:id="564"/>
    </w:p>
    <w:p w14:paraId="756695EE">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全面融入长三角一体化。</w:t>
      </w:r>
      <w:r>
        <w:rPr>
          <w:rFonts w:hint="default" w:ascii="Times New Roman" w:hAnsi="Times New Roman" w:eastAsia="仿宋_GB2312" w:cs="Times New Roman"/>
          <w:sz w:val="32"/>
          <w:szCs w:val="32"/>
        </w:rPr>
        <w:t>高标准推进长三角生态绿色一体化发展示范区协调区建设，建立南部三镇与示范区定期会商机制，推进规划设计、功能塑造、产业发展和基础设施等方面协同，率先复制推广示范区改革创新举措，探索跨区域共建产业合作园区。协同推进生态优势厚植、产业科创培育、服务功能提质、乡村全面振兴，发展现代湖区经济，建设水乡人居典范。加快建设文旅综合体，招引高品质文旅项目，联合推出水乡文旅康养产品，促进淀山湖片区旅游协同发展。</w:t>
      </w:r>
    </w:p>
    <w:p w14:paraId="51A2110F">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加强与南翼杭州－宁波协同发展。</w:t>
      </w:r>
      <w:r>
        <w:rPr>
          <w:rFonts w:hint="default" w:ascii="Times New Roman" w:hAnsi="Times New Roman" w:eastAsia="仿宋_GB2312" w:cs="Times New Roman"/>
          <w:sz w:val="32"/>
          <w:szCs w:val="32"/>
        </w:rPr>
        <w:t>学习借鉴杭州数字经济发展经验，积极对接杭州数字经济、人工智能领域头部企业，浙江大学、西湖大学等科研院所，推动在人工智能OPC、电商直播、合成生物等领域深化合作。加强与宁波在新能源汽车、高端装备等先进制造领域深度合作，借助宁波国际航运中心功能，打开昆山货物物流和贸易新通道。</w:t>
      </w:r>
    </w:p>
    <w:p w14:paraId="5579A122">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加强与北翼南京－合肥协同发展。</w:t>
      </w:r>
      <w:r>
        <w:rPr>
          <w:rFonts w:hint="default" w:ascii="Times New Roman" w:hAnsi="Times New Roman" w:eastAsia="仿宋_GB2312" w:cs="Times New Roman"/>
          <w:sz w:val="32"/>
          <w:szCs w:val="32"/>
        </w:rPr>
        <w:t>重点深化与南京高校和科研院所产学研合作，推动一批创新成果落地，加强南京高校青年人才招引，深度切入南京软件信息、航空航天、具身智能、智能汽车等优势领域产业链。利用合肥和昆山在集成电路、新型显示、新能源汽车等领域互补性，提供智能元器件、显示面板、核心零部件等配套生产，支持企业与合肥国家级大科学装置开展前沿技术联合攻关。</w:t>
      </w:r>
    </w:p>
    <w:p w14:paraId="773A416D">
      <w:pPr>
        <w:overflowPunct w:val="0"/>
        <w:adjustRightInd w:val="0"/>
        <w:spacing w:after="0" w:line="600" w:lineRule="exact"/>
        <w:ind w:firstLine="640" w:firstLineChars="200"/>
        <w:jc w:val="both"/>
        <w:rPr>
          <w:rFonts w:hint="default" w:ascii="Times New Roman" w:hAnsi="Times New Roman" w:eastAsia="仿宋_GB2312" w:cs="Times New Roman"/>
          <w:color w:val="000000"/>
          <w:sz w:val="32"/>
          <w:szCs w:val="31"/>
        </w:rPr>
      </w:pPr>
      <w:r>
        <w:rPr>
          <w:rFonts w:hint="default" w:ascii="Times New Roman" w:hAnsi="Times New Roman" w:eastAsia="楷体" w:cs="Times New Roman"/>
          <w:sz w:val="32"/>
          <w:szCs w:val="32"/>
        </w:rPr>
        <w:t>稳步推进跨区域深度合作。</w:t>
      </w:r>
      <w:r>
        <w:rPr>
          <w:rFonts w:hint="default" w:ascii="Times New Roman" w:hAnsi="Times New Roman" w:eastAsia="仿宋_GB2312" w:cs="Times New Roman"/>
          <w:sz w:val="32"/>
          <w:szCs w:val="32"/>
        </w:rPr>
        <w:t>深化与京津冀和粤港澳战略合作，聚焦京津冀高精尖产业领域，加强与中国科学院、北京大学、清华大学、天津大学等科研院所深度合作。全面对接珠三角地区旗舰型企业，深化供应链和技术研发合作。探索在北京、深圳、香港等地设立更多“科创飞地”。接续推进南北挂钩合作，重点建设好昆沭产业园。落实对口支援和东西部协作，</w:t>
      </w:r>
      <w:r>
        <w:rPr>
          <w:rFonts w:hint="default" w:ascii="Times New Roman" w:hAnsi="Times New Roman" w:eastAsia="仿宋_GB2312" w:cs="Times New Roman"/>
          <w:color w:val="000000"/>
          <w:sz w:val="32"/>
          <w:szCs w:val="31"/>
        </w:rPr>
        <w:t>推动产业互补、人员互动、技术互学、观念互通，助力对口地区产业特色发展，稳步推进文化教育、医疗卫生等领域项目合作，完善干部人才交流机制，推动区域协同发展迈向更高水平。</w:t>
      </w:r>
    </w:p>
    <w:p w14:paraId="5E5C8F27">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565" w:name="_Toc32749"/>
      <w:bookmarkStart w:id="566" w:name="_Toc45"/>
      <w:bookmarkStart w:id="567" w:name="_Toc13520"/>
      <w:r>
        <w:rPr>
          <w:rFonts w:hint="default" w:ascii="Times New Roman" w:hAnsi="Times New Roman" w:eastAsia="楷体" w:cs="Times New Roman"/>
          <w:sz w:val="32"/>
          <w:szCs w:val="32"/>
        </w:rPr>
        <w:t>第二节 加快贸易创新发展</w:t>
      </w:r>
      <w:bookmarkEnd w:id="565"/>
      <w:bookmarkEnd w:id="566"/>
      <w:bookmarkEnd w:id="567"/>
    </w:p>
    <w:p w14:paraId="69685143">
      <w:pPr>
        <w:overflowPunct w:val="0"/>
        <w:adjustRightInd w:val="0"/>
        <w:spacing w:after="0" w:line="600" w:lineRule="exact"/>
        <w:ind w:firstLine="640" w:firstLineChars="200"/>
        <w:jc w:val="both"/>
        <w:rPr>
          <w:rFonts w:hint="default" w:ascii="Times New Roman" w:hAnsi="Times New Roman" w:eastAsia="仿宋_GB2312" w:cs="Times New Roman"/>
          <w:color w:val="000000"/>
          <w:sz w:val="32"/>
          <w:szCs w:val="31"/>
        </w:rPr>
      </w:pPr>
      <w:r>
        <w:rPr>
          <w:rFonts w:hint="default" w:ascii="Times New Roman" w:hAnsi="Times New Roman" w:eastAsia="楷体" w:cs="Times New Roman"/>
          <w:sz w:val="32"/>
          <w:szCs w:val="32"/>
        </w:rPr>
        <w:t>促进货物贸易稳定增长。</w:t>
      </w:r>
      <w:r>
        <w:rPr>
          <w:rFonts w:hint="default" w:ascii="Times New Roman" w:hAnsi="Times New Roman" w:eastAsia="仿宋_GB2312" w:cs="Times New Roman"/>
          <w:color w:val="000000"/>
          <w:sz w:val="32"/>
          <w:szCs w:val="31"/>
        </w:rPr>
        <w:t>更大力度稳订单、培育新主体、开拓新市场、发展新模式、打造新通道，着力挖掘外贸新增量，引导企业归拢品牌产能，巩固外贸基本盘。做强手机、笔电等消费电子终端，深挖中间品贸易潜力，扩大中间品出口规模，加快贸易转型升级。引导加工贸易企业向研发设计、全球分拨、品牌销售等高附加值环节延伸，推动出口产品向自主品牌方向跃升。加快进口贸易促进创新示范区建设，打造咖啡生豆分拨中心、进口食品（花桥）国际贸易中心等平台，扩大优质消费品和高附加值产品进口规模。</w:t>
      </w:r>
    </w:p>
    <w:p w14:paraId="0FAEA39A">
      <w:pPr>
        <w:overflowPunct w:val="0"/>
        <w:adjustRightInd w:val="0"/>
        <w:spacing w:after="0" w:line="600" w:lineRule="exact"/>
        <w:ind w:firstLine="640" w:firstLineChars="200"/>
        <w:jc w:val="both"/>
        <w:rPr>
          <w:rFonts w:hint="default" w:ascii="Times New Roman" w:hAnsi="Times New Roman" w:eastAsia="仿宋_GB2312" w:cs="Times New Roman"/>
          <w:color w:val="000000"/>
          <w:sz w:val="32"/>
          <w:szCs w:val="32"/>
        </w:rPr>
      </w:pPr>
      <w:r>
        <w:rPr>
          <w:rFonts w:hint="default" w:ascii="Times New Roman" w:hAnsi="Times New Roman" w:eastAsia="楷体" w:cs="Times New Roman"/>
          <w:sz w:val="32"/>
          <w:szCs w:val="32"/>
        </w:rPr>
        <w:t>推动贸易结构升级。</w:t>
      </w:r>
      <w:r>
        <w:rPr>
          <w:rFonts w:hint="default" w:ascii="Times New Roman" w:hAnsi="Times New Roman" w:eastAsia="仿宋_GB2312" w:cs="Times New Roman"/>
          <w:sz w:val="32"/>
          <w:szCs w:val="32"/>
        </w:rPr>
        <w:t>全力做大服务贸易规模，丰富拓展研发外包、检测维修、供应链管理、数字贸易等服务贸易新业态。依托昆山综合保税区，</w:t>
      </w:r>
      <w:r>
        <w:rPr>
          <w:rFonts w:hint="default" w:ascii="Times New Roman" w:hAnsi="Times New Roman" w:eastAsia="仿宋_GB2312" w:cs="Times New Roman"/>
          <w:color w:val="000000"/>
          <w:sz w:val="32"/>
          <w:szCs w:val="31"/>
        </w:rPr>
        <w:t>推进加工贸易创新转型，深化保税维修、保税研发，探索保税再制造业务创新。加快中新园瑞、阿里巴巴速卖通、亚马逊、金米客等跨境电商载体建设，大力招引跨境电商头部企业，支持企业布局海外仓网络，推动主流跨境电商平台与昆山品牌深度链接，深化“跨境电商+产业带”融合发展，推动跨境电商1210保税进口和9610直购进口协同发展，拓展跨境电商零售进口渠道，打造跨境电商新零售首店。</w:t>
      </w:r>
    </w:p>
    <w:p w14:paraId="05F718E6">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568" w:name="_Toc31440"/>
      <w:bookmarkStart w:id="569" w:name="_Toc10169"/>
      <w:bookmarkStart w:id="570" w:name="_Toc7000"/>
      <w:r>
        <w:rPr>
          <w:rFonts w:hint="default" w:ascii="Times New Roman" w:hAnsi="Times New Roman" w:eastAsia="楷体" w:cs="Times New Roman"/>
          <w:sz w:val="32"/>
          <w:szCs w:val="32"/>
        </w:rPr>
        <w:t>第三节 塑造吸引外资新优势</w:t>
      </w:r>
      <w:bookmarkEnd w:id="568"/>
      <w:bookmarkEnd w:id="569"/>
      <w:bookmarkEnd w:id="570"/>
    </w:p>
    <w:p w14:paraId="15297765">
      <w:pPr>
        <w:overflowPunct w:val="0"/>
        <w:adjustRightInd w:val="0"/>
        <w:spacing w:after="0" w:line="600" w:lineRule="exact"/>
        <w:ind w:firstLine="640" w:firstLineChars="200"/>
        <w:jc w:val="both"/>
        <w:rPr>
          <w:rFonts w:hint="default" w:ascii="Times New Roman" w:hAnsi="Times New Roman" w:eastAsia="仿宋_GB2312" w:cs="Times New Roman"/>
          <w:color w:val="000000"/>
          <w:sz w:val="32"/>
          <w:szCs w:val="32"/>
        </w:rPr>
      </w:pPr>
      <w:r>
        <w:rPr>
          <w:rFonts w:hint="default" w:ascii="Times New Roman" w:hAnsi="Times New Roman" w:eastAsia="楷体" w:cs="Times New Roman"/>
          <w:sz w:val="32"/>
          <w:szCs w:val="32"/>
        </w:rPr>
        <w:t>拓展利用外资来源地。</w:t>
      </w:r>
      <w:r>
        <w:rPr>
          <w:rFonts w:hint="default" w:ascii="Times New Roman" w:hAnsi="Times New Roman" w:eastAsia="仿宋_GB2312" w:cs="Times New Roman"/>
          <w:color w:val="000000"/>
          <w:sz w:val="32"/>
          <w:szCs w:val="32"/>
        </w:rPr>
        <w:t>紧盯欧美日韩和世界500强企业，强化以商引商、精准招商、出境招商，巩固欧美、日韩外资来源，做强做优昆山国别产业园。大力拓展“一带一路”、东盟等新兴市场外资来源，密切关注中东－新加坡主权财富基金的投资趋势，探索与中东主权财富基金和新加坡、泰国、马来西亚国家资本的战略合作，引导中东资本、东南亚资本加强对昆山重大产业项目投资入股。深度挖掘台企再投资潜力，稳定台港资企业在昆投资规模。</w:t>
      </w:r>
    </w:p>
    <w:p w14:paraId="686D59FD">
      <w:pPr>
        <w:overflowPunct w:val="0"/>
        <w:adjustRightInd w:val="0"/>
        <w:spacing w:after="0" w:line="600" w:lineRule="exact"/>
        <w:ind w:firstLine="640" w:firstLineChars="200"/>
        <w:jc w:val="both"/>
        <w:rPr>
          <w:rFonts w:hint="default" w:ascii="Times New Roman" w:hAnsi="Times New Roman" w:eastAsia="仿宋_GB2312" w:cs="Times New Roman"/>
          <w:color w:val="000000"/>
          <w:sz w:val="32"/>
          <w:szCs w:val="32"/>
        </w:rPr>
      </w:pPr>
      <w:r>
        <w:rPr>
          <w:rFonts w:hint="default" w:ascii="Times New Roman" w:hAnsi="Times New Roman" w:eastAsia="楷体" w:cs="Times New Roman"/>
          <w:sz w:val="32"/>
          <w:szCs w:val="32"/>
        </w:rPr>
        <w:t>创新利用外资方式。</w:t>
      </w:r>
      <w:r>
        <w:rPr>
          <w:rFonts w:hint="default" w:ascii="Times New Roman" w:hAnsi="Times New Roman" w:eastAsia="仿宋_GB2312" w:cs="Times New Roman"/>
          <w:color w:val="000000"/>
          <w:sz w:val="32"/>
          <w:szCs w:val="32"/>
        </w:rPr>
        <w:t>贯彻落实好外资准入负面清单，按照内外资一致原则对外资准入实施管理，落实国家利润再投资税收抵免政策，服务和引导企业通过利润再投资等方式增资扩产，加大对企业增资政策支持。探索QFLP、外资股权并购、境外上市等引资新方式，拓展利用外资新渠道。以昆山开发区省级外资总部经济集聚区为主体，引导更多外资研发中心、跨国公司区域性总部和功能性机构布局昆山，推动外资从“制造型”向“总部型+创新型”转型。</w:t>
      </w:r>
    </w:p>
    <w:p w14:paraId="2CA1351E">
      <w:pPr>
        <w:overflowPunct w:val="0"/>
        <w:adjustRightInd w:val="0"/>
        <w:spacing w:after="0" w:line="600" w:lineRule="exact"/>
        <w:ind w:firstLine="640" w:firstLineChars="200"/>
        <w:jc w:val="both"/>
        <w:rPr>
          <w:rFonts w:hint="default" w:ascii="Times New Roman" w:hAnsi="Times New Roman" w:eastAsia="仿宋_GB2312" w:cs="Times New Roman"/>
          <w:color w:val="000000"/>
          <w:sz w:val="32"/>
          <w:szCs w:val="32"/>
        </w:rPr>
      </w:pPr>
      <w:r>
        <w:rPr>
          <w:rFonts w:hint="default" w:ascii="Times New Roman" w:hAnsi="Times New Roman" w:eastAsia="楷体" w:cs="Times New Roman"/>
          <w:sz w:val="32"/>
          <w:szCs w:val="32"/>
        </w:rPr>
        <w:t>优化外资投资布局。</w:t>
      </w:r>
      <w:r>
        <w:rPr>
          <w:rFonts w:hint="default" w:ascii="Times New Roman" w:hAnsi="Times New Roman" w:eastAsia="仿宋_GB2312" w:cs="Times New Roman"/>
          <w:color w:val="000000"/>
          <w:sz w:val="32"/>
          <w:szCs w:val="32"/>
        </w:rPr>
        <w:t>抢抓苏州服务业扩大开放试点机遇，引导外资企业向医疗、教育、文旅等生活性服务业拓展，推动外商独资医院项目取得新突破。聚焦新一代信息技术、高端装备等优势产业，引导外资投向强链补链关键环节，切实提升外资在稳定产业链供应链方面积极作用。大力吸引外资在人工智能、生命健康、新能源、低空经济等新兴领域布局研发和产业化基地，鼓励外资更多投向研发设计、科技金融、现代物流、检验检测等高端业态。</w:t>
      </w:r>
    </w:p>
    <w:p w14:paraId="13308E98">
      <w:pPr>
        <w:widowControl/>
        <w:overflowPunct w:val="0"/>
        <w:adjustRightInd w:val="0"/>
        <w:spacing w:after="0" w:line="600" w:lineRule="exact"/>
        <w:jc w:val="center"/>
        <w:outlineLvl w:val="2"/>
        <w:rPr>
          <w:rFonts w:hint="default" w:ascii="Times New Roman" w:hAnsi="Times New Roman" w:eastAsia="楷体" w:cs="Times New Roman"/>
          <w:sz w:val="32"/>
          <w:szCs w:val="32"/>
        </w:rPr>
      </w:pPr>
      <w:bookmarkStart w:id="571" w:name="_Toc20624"/>
      <w:bookmarkStart w:id="572" w:name="_Toc3831"/>
      <w:bookmarkStart w:id="573" w:name="_Toc2127"/>
      <w:r>
        <w:rPr>
          <w:rFonts w:hint="default" w:ascii="Times New Roman" w:hAnsi="Times New Roman" w:eastAsia="楷体" w:cs="Times New Roman"/>
          <w:sz w:val="32"/>
          <w:szCs w:val="32"/>
        </w:rPr>
        <w:t>第四节 服务本地企业“出海”</w:t>
      </w:r>
      <w:bookmarkEnd w:id="571"/>
      <w:bookmarkEnd w:id="572"/>
      <w:bookmarkEnd w:id="573"/>
    </w:p>
    <w:p w14:paraId="09EE3984">
      <w:pPr>
        <w:overflowPunct w:val="0"/>
        <w:adjustRightInd w:val="0"/>
        <w:spacing w:after="0" w:line="600" w:lineRule="exact"/>
        <w:ind w:firstLine="640" w:firstLineChars="200"/>
        <w:jc w:val="both"/>
        <w:rPr>
          <w:rFonts w:hint="default" w:ascii="Times New Roman" w:hAnsi="Times New Roman" w:eastAsia="仿宋_GB2312" w:cs="Times New Roman"/>
          <w:color w:val="000000"/>
          <w:sz w:val="32"/>
          <w:szCs w:val="32"/>
        </w:rPr>
      </w:pPr>
      <w:r>
        <w:rPr>
          <w:rFonts w:hint="default" w:ascii="Times New Roman" w:hAnsi="Times New Roman" w:eastAsia="楷体" w:cs="Times New Roman"/>
          <w:sz w:val="32"/>
          <w:szCs w:val="32"/>
        </w:rPr>
        <w:t>高质量协同共建“一带一路”。</w:t>
      </w:r>
      <w:r>
        <w:rPr>
          <w:rFonts w:hint="default" w:ascii="Times New Roman" w:hAnsi="Times New Roman" w:eastAsia="仿宋_GB2312" w:cs="Times New Roman"/>
          <w:sz w:val="32"/>
          <w:szCs w:val="32"/>
        </w:rPr>
        <w:t>鼓励企业用好RCEP等高标准经贸规则，支持外贸企业拓宽产品市场，</w:t>
      </w:r>
      <w:r>
        <w:rPr>
          <w:rFonts w:hint="default" w:ascii="Times New Roman" w:hAnsi="Times New Roman" w:eastAsia="仿宋_GB2312" w:cs="Times New Roman"/>
          <w:sz w:val="32"/>
        </w:rPr>
        <w:t>在沿线枢纽节点建立自主营销网络、售后服务中心、仓储物流基地和分拨中心等基础设施，</w:t>
      </w:r>
      <w:r>
        <w:rPr>
          <w:rFonts w:hint="default" w:ascii="Times New Roman" w:hAnsi="Times New Roman" w:eastAsia="仿宋_GB2312" w:cs="Times New Roman"/>
          <w:sz w:val="32"/>
          <w:szCs w:val="32"/>
          <w:shd w:val="clear" w:color="auto" w:fill="FFFFFF"/>
        </w:rPr>
        <w:t>拓展海外发展空间，培育壮大跨境产业链。</w:t>
      </w:r>
      <w:r>
        <w:rPr>
          <w:rFonts w:hint="default" w:ascii="Times New Roman" w:hAnsi="Times New Roman" w:eastAsia="仿宋_GB2312" w:cs="Times New Roman"/>
          <w:sz w:val="32"/>
          <w:szCs w:val="32"/>
        </w:rPr>
        <w:t>发展“跨境电商+海外仓”模式，鼓励企业在“一带一路”沿线国家及中欧班列主要节点城市布局海外仓，引导海外仓提升服务能力。高效运营“一带一路”昆山国际先进技术研究院，推进与白俄罗斯国立工业大学、俄罗斯高等经济大学等“一带一路”沿线高校院所合作共建昆山创新中心、海外离岸创新中心，拓展昆山国际科创合作朋友圈。</w:t>
      </w:r>
    </w:p>
    <w:p w14:paraId="49ACC80C">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并重推进“走出去”和“根植化”。</w:t>
      </w:r>
      <w:r>
        <w:rPr>
          <w:rFonts w:hint="default" w:ascii="Times New Roman" w:hAnsi="Times New Roman" w:eastAsia="仿宋_GB2312" w:cs="Times New Roman"/>
          <w:sz w:val="32"/>
          <w:szCs w:val="32"/>
        </w:rPr>
        <w:t>鼓励有条件的企业在技术、品牌、专利、平台等领域加强跨境并购，在海外设立生产基地，带动高附加值中间品、设备与技术出口，鼓励海外并购获取先进要素回流反哺，实现“海外孵化、昆山转化”。支持“走出去”企业建立境外资源供应基地，构建多元、稳定、安全的境外资源供应体系。推动台资企业先进制造技术、国际化运营经验与昆山民营企业灵活市场机制、本土资源优势有机结合，打造昆台出海联合体。引导企业有序转移部分劳动密集型的非关键产能，把关键技术和研发总部留在昆山，打造一批根基在昆山、布局在全球的本土跨国公司。</w:t>
      </w:r>
    </w:p>
    <w:p w14:paraId="44F77F55">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持续提升海外综合服务能力。</w:t>
      </w:r>
      <w:r>
        <w:rPr>
          <w:rFonts w:hint="default" w:ascii="Times New Roman" w:hAnsi="Times New Roman" w:eastAsia="仿宋_GB2312" w:cs="Times New Roman"/>
          <w:sz w:val="32"/>
          <w:szCs w:val="32"/>
        </w:rPr>
        <w:t>依托商务部公共服务平台、江苏走出去综合服务平台，加强与苏州市企业出海服务中心联动合作，搭建企业“走出去”综合服务生态圈。发挥龙头企业资源优势，为上下游企业出海提供支持，共享海外仓、营销渠道与售后服务体系。与各类海外投资协会和出海服务机构建立合作机制，为企业出海提供国际投资动态、跨境政策、全球风险版图等一揽子服务。利用出口信贷担保、援外优惠贷款等政策性信贷扶持，争取中非发展基金、中国</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东盟投资合作基金支持，加强境外投资金融服务。建立境外投资风险评估预警和权益保护机制，确保产业链供应链安全。</w:t>
      </w:r>
    </w:p>
    <w:p w14:paraId="7330F7D3">
      <w:pPr>
        <w:overflowPunct w:val="0"/>
        <w:spacing w:after="0" w:line="240" w:lineRule="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7F6904A7">
      <w:pPr>
        <w:pStyle w:val="2"/>
        <w:widowControl/>
        <w:overflowPunct w:val="0"/>
        <w:autoSpaceDE w:val="0"/>
        <w:adjustRightInd w:val="0"/>
        <w:spacing w:before="156" w:beforeLines="50" w:after="156" w:afterLines="50" w:line="600" w:lineRule="exact"/>
        <w:jc w:val="center"/>
        <w:rPr>
          <w:rFonts w:hint="default" w:ascii="Times New Roman" w:hAnsi="Times New Roman" w:eastAsia="方正小标宋简体" w:cs="Times New Roman"/>
          <w:b w:val="0"/>
          <w:bCs w:val="0"/>
          <w:szCs w:val="36"/>
        </w:rPr>
      </w:pPr>
      <w:bookmarkStart w:id="574" w:name="_Toc3785"/>
      <w:bookmarkStart w:id="575" w:name="_Toc26368"/>
      <w:bookmarkStart w:id="576" w:name="_Toc31541"/>
      <w:r>
        <w:rPr>
          <w:rFonts w:hint="default" w:ascii="Times New Roman" w:hAnsi="Times New Roman" w:eastAsia="方正小标宋简体" w:cs="Times New Roman"/>
          <w:b w:val="0"/>
          <w:bCs w:val="0"/>
          <w:szCs w:val="36"/>
        </w:rPr>
        <w:t>第四篇 打造美丽现代的“品质之城”</w:t>
      </w:r>
      <w:bookmarkEnd w:id="574"/>
      <w:bookmarkEnd w:id="575"/>
      <w:bookmarkEnd w:id="576"/>
    </w:p>
    <w:p w14:paraId="3DEE0580">
      <w:pPr>
        <w:overflowPunct w:val="0"/>
        <w:topLinePunct/>
        <w:adjustRightInd w:val="0"/>
        <w:spacing w:before="156" w:beforeLines="50" w:after="156" w:afterLines="50" w:line="600" w:lineRule="exact"/>
        <w:jc w:val="center"/>
        <w:outlineLvl w:val="1"/>
        <w:rPr>
          <w:rFonts w:hint="default" w:ascii="Times New Roman" w:hAnsi="Times New Roman" w:eastAsia="黑体" w:cs="Times New Roman"/>
          <w:sz w:val="32"/>
          <w:szCs w:val="32"/>
        </w:rPr>
      </w:pPr>
      <w:bookmarkStart w:id="577" w:name="_Toc32601"/>
      <w:bookmarkStart w:id="578" w:name="_Toc12690"/>
      <w:bookmarkStart w:id="579" w:name="_Toc20178"/>
      <w:r>
        <w:rPr>
          <w:rFonts w:hint="default" w:ascii="Times New Roman" w:hAnsi="Times New Roman" w:eastAsia="黑体" w:cs="Times New Roman"/>
          <w:sz w:val="32"/>
          <w:szCs w:val="32"/>
        </w:rPr>
        <w:t>第十章 建设舒适便利宜居城市</w:t>
      </w:r>
      <w:bookmarkEnd w:id="577"/>
      <w:bookmarkEnd w:id="578"/>
      <w:bookmarkEnd w:id="579"/>
    </w:p>
    <w:p w14:paraId="5247A495">
      <w:pPr>
        <w:overflowPunct w:val="0"/>
        <w:topLinePunct/>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面落实中央城市工作会议部署，坚持人口、产业、城镇、交通一体规划，深入推进以人为本的新型城镇化，优化城市空间结构，大力实施城市更新改造，全面提升城市功能品质，持续促进产城人文融合，打造现代化人民城市。</w:t>
      </w:r>
    </w:p>
    <w:p w14:paraId="63AA838D">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580" w:name="_Toc508"/>
      <w:bookmarkStart w:id="581" w:name="_Toc31523"/>
      <w:bookmarkStart w:id="582" w:name="_Toc22983"/>
      <w:r>
        <w:rPr>
          <w:rFonts w:hint="default" w:ascii="Times New Roman" w:hAnsi="Times New Roman" w:eastAsia="楷体" w:cs="Times New Roman"/>
          <w:sz w:val="32"/>
          <w:szCs w:val="32"/>
        </w:rPr>
        <w:t>第一节 全面优化城市空间布局</w:t>
      </w:r>
      <w:bookmarkEnd w:id="580"/>
      <w:bookmarkEnd w:id="581"/>
      <w:bookmarkEnd w:id="582"/>
    </w:p>
    <w:p w14:paraId="685C4058">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立足打造全球功能性节点，着眼沪苏昆同城化联动、产城人融合化发展，围绕对内聚合提升、对外融合拓展两个维度，全面构筑“主城强心+片区支撑+两轴联动+组团发展”的空间发展格局。</w:t>
      </w:r>
    </w:p>
    <w:p w14:paraId="245B40DC">
      <w:pPr>
        <w:overflowPunct w:val="0"/>
        <w:adjustRightInd w:val="0"/>
        <w:spacing w:after="0" w:line="600" w:lineRule="exact"/>
        <w:ind w:firstLine="640" w:firstLineChars="200"/>
        <w:jc w:val="both"/>
        <w:rPr>
          <w:rFonts w:hint="default" w:ascii="Times New Roman" w:hAnsi="Times New Roman" w:eastAsia="楷体" w:cs="Times New Roman"/>
          <w:sz w:val="32"/>
          <w:szCs w:val="32"/>
        </w:rPr>
      </w:pPr>
      <w:r>
        <w:rPr>
          <w:rFonts w:hint="default" w:ascii="Times New Roman" w:hAnsi="Times New Roman" w:eastAsia="楷体" w:cs="Times New Roman"/>
          <w:sz w:val="32"/>
          <w:szCs w:val="32"/>
        </w:rPr>
        <w:t>1.主城强心</w:t>
      </w:r>
    </w:p>
    <w:p w14:paraId="36D9CDFE">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主城主要覆盖中环以内城市核心区，以推动城市更新为抓手，全面提升城市品质，挖掘自然山水和历史文化资源，逐步降低工业用地比例，充实文化休闲功能，适度增加商业服务功能，提升主城承载力、辐射力。重点建设青阳港中央商务区，以苏州轨交11号线为“黄金主轴”，按照“一河两岸，四芯六片”结构，聚焦“总部经济、数字经济、高端服务”核心产业，融合“花园中央商务区”“创新产业社区”“共享型公寓”“活力街区”设计理念，形成总部商务区、环港商业区、中央品质生活区、青年创业园和两大生态宜居组团等多个功能板块，打造昆山“城市之心”。“十五五”期间，重点推进青阳港西岸启动区建设，打造青阳港中央商务区示范区。</w:t>
      </w:r>
    </w:p>
    <w:p w14:paraId="25E6D469">
      <w:pPr>
        <w:overflowPunct w:val="0"/>
        <w:adjustRightInd w:val="0"/>
        <w:spacing w:after="0" w:line="600" w:lineRule="exact"/>
        <w:ind w:firstLine="640" w:firstLineChars="200"/>
        <w:rPr>
          <w:rFonts w:hint="default" w:ascii="Times New Roman" w:hAnsi="Times New Roman" w:eastAsia="楷体" w:cs="Times New Roman"/>
          <w:sz w:val="32"/>
          <w:szCs w:val="32"/>
        </w:rPr>
      </w:pPr>
      <w:r>
        <w:rPr>
          <w:rFonts w:hint="default" w:ascii="Times New Roman" w:hAnsi="Times New Roman" w:eastAsia="楷体" w:cs="Times New Roman"/>
          <w:sz w:val="32"/>
          <w:szCs w:val="32"/>
        </w:rPr>
        <w:t>2.片区支撑</w:t>
      </w:r>
    </w:p>
    <w:p w14:paraId="67986F50">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打造玉山历史文化片区。以“山水相望、古今交融，老少皆宜、幸福城区”为目标，在前进路南侧、北侧分别打造最具区域吸引力的先锋文博区和最具昆山记忆的青年文体街区，形成具有江南韵味的城市更新样板。加快玉山广场TOD片区业态更新，建设市民休闲娱乐购物主题街区。利用琅环公园、玉山广场等公共空间，串联徐士浩宅、侯北人美术馆、原玉山医院等载体，增加演出社、曲艺社、剧社等特色艺术体验场馆，打造市级文博、美术、艺术等空间群落。强化市民活动中心运动功能，营造立体化体育公园，沿亭林路构筑小尺度商业街区。</w:t>
      </w:r>
    </w:p>
    <w:p w14:paraId="5B39E901">
      <w:pPr>
        <w:widowControl/>
        <w:overflowPunct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建设正仪戏曲文化片区。以戏曲文化为脉，建设“正声雅韵、仪态万方”百戏之城，打造在国内外具有较高影响力的戏曲文化传承创新示范区和长三角文旅融合新地标。聚焦戏曲文创园、产学研基地等，布局戏曲产业孵化中心、数字演艺、非遗工坊、服化道制作、乐器制作等产业，引入全国性戏曲论坛、产业峰会与沉浸式会展，汇聚学术交流、产业合作与艺术展示等功能。建立集“保护、研究、传习、创作、展演、交流、体验”于一体的戏曲文化生态区，开展“百戏剧场”群建设，打造文化旅游新地标。</w:t>
      </w:r>
    </w:p>
    <w:p w14:paraId="78A20ED2">
      <w:pPr>
        <w:overflowPunct w:val="0"/>
        <w:spacing w:after="0" w:line="600" w:lineRule="exact"/>
        <w:ind w:firstLine="640" w:firstLineChars="200"/>
        <w:rPr>
          <w:rFonts w:hint="default" w:ascii="Times New Roman" w:hAnsi="Times New Roman" w:eastAsia="仿宋_GB2312" w:cs="Times New Roman"/>
          <w:sz w:val="32"/>
          <w:szCs w:val="32"/>
          <w:lang w:bidi="ar"/>
        </w:rPr>
      </w:pPr>
      <w:r>
        <w:rPr>
          <w:rFonts w:hint="default" w:ascii="Times New Roman" w:hAnsi="Times New Roman" w:eastAsia="仿宋_GB2312" w:cs="Times New Roman"/>
          <w:sz w:val="32"/>
          <w:szCs w:val="32"/>
          <w:lang w:bidi="ar"/>
        </w:rPr>
        <w:t>——推进大渔湾科创先导区建设。以建设国际一流科创智谷为目标，依托祖冲之路科创发展带、</w:t>
      </w:r>
      <w:r>
        <w:rPr>
          <w:rFonts w:hint="default" w:ascii="Times New Roman" w:hAnsi="Times New Roman" w:eastAsia="仿宋_GB2312" w:cs="Times New Roman"/>
          <w:sz w:val="32"/>
          <w:szCs w:val="32"/>
        </w:rPr>
        <w:t>大渔湾湖滨风情商业街区</w:t>
      </w:r>
      <w:r>
        <w:rPr>
          <w:rFonts w:hint="default" w:ascii="Times New Roman" w:hAnsi="Times New Roman" w:eastAsia="仿宋_GB2312" w:cs="Times New Roman"/>
          <w:sz w:val="32"/>
          <w:szCs w:val="32"/>
          <w:lang w:bidi="ar"/>
        </w:rPr>
        <w:t>和庙泾河综合服务带，推动科创、社交、资源、生活空间沿轴带串联整合，打造</w:t>
      </w:r>
      <w:r>
        <w:rPr>
          <w:rFonts w:hint="default" w:ascii="Times New Roman" w:hAnsi="Times New Roman" w:eastAsia="仿宋_GB2312" w:cs="Times New Roman"/>
          <w:sz w:val="32"/>
          <w:szCs w:val="32"/>
        </w:rPr>
        <w:t>“绿色生态公园、公共功能设施、科创载体空间”三大圈层，</w:t>
      </w:r>
      <w:r>
        <w:rPr>
          <w:rFonts w:hint="default" w:ascii="Times New Roman" w:hAnsi="Times New Roman" w:eastAsia="仿宋_GB2312" w:cs="Times New Roman"/>
          <w:sz w:val="32"/>
          <w:szCs w:val="32"/>
          <w:lang w:bidi="ar"/>
        </w:rPr>
        <w:t>布局总部研发、创新社区、高端住宅及精品商业，形成城、产、创高度融合的</w:t>
      </w:r>
      <w:r>
        <w:rPr>
          <w:rFonts w:hint="default" w:ascii="Times New Roman" w:hAnsi="Times New Roman" w:eastAsia="仿宋_GB2312" w:cs="Times New Roman"/>
          <w:sz w:val="32"/>
          <w:szCs w:val="32"/>
        </w:rPr>
        <w:t>未来城市科创客厅</w:t>
      </w:r>
      <w:r>
        <w:rPr>
          <w:rFonts w:hint="default" w:ascii="Times New Roman" w:hAnsi="Times New Roman" w:eastAsia="仿宋_GB2312" w:cs="Times New Roman"/>
          <w:sz w:val="32"/>
          <w:szCs w:val="32"/>
          <w:lang w:bidi="ar"/>
        </w:rPr>
        <w:t>，提升</w:t>
      </w:r>
      <w:r>
        <w:rPr>
          <w:rFonts w:hint="default" w:ascii="Times New Roman" w:hAnsi="Times New Roman" w:eastAsia="仿宋_GB2312" w:cs="Times New Roman"/>
          <w:sz w:val="32"/>
          <w:szCs w:val="32"/>
        </w:rPr>
        <w:t>大渔湖整体片区的门户地标形象。</w:t>
      </w:r>
    </w:p>
    <w:p w14:paraId="31B0E511">
      <w:pPr>
        <w:overflowPunct w:val="0"/>
        <w:adjustRightInd w:val="0"/>
        <w:spacing w:after="0" w:line="600" w:lineRule="exact"/>
        <w:ind w:firstLine="640" w:firstLineChars="200"/>
        <w:rPr>
          <w:rFonts w:hint="default" w:ascii="Times New Roman" w:hAnsi="Times New Roman" w:eastAsia="楷体" w:cs="Times New Roman"/>
          <w:sz w:val="32"/>
          <w:szCs w:val="32"/>
        </w:rPr>
      </w:pPr>
      <w:r>
        <w:rPr>
          <w:rFonts w:hint="default" w:ascii="Times New Roman" w:hAnsi="Times New Roman" w:eastAsia="楷体" w:cs="Times New Roman"/>
          <w:sz w:val="32"/>
          <w:szCs w:val="32"/>
        </w:rPr>
        <w:t>3.两轴联动</w:t>
      </w:r>
    </w:p>
    <w:p w14:paraId="280798C2">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cs="Times New Roman"/>
          <w:sz w:val="32"/>
          <w:szCs w:val="32"/>
        </w:rPr>
        <w:t>——</w:t>
      </w:r>
      <w:r>
        <w:rPr>
          <w:rFonts w:hint="default" w:ascii="Times New Roman" w:hAnsi="Times New Roman" w:eastAsia="仿宋_GB2312" w:cs="Times New Roman"/>
          <w:sz w:val="32"/>
          <w:szCs w:val="32"/>
        </w:rPr>
        <w:t>构筑东西向沪宁科技创新发展轴。强化沪苏两地联动发展节点功能，沿轴打造贯穿虹桥中央商务区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花桥经济开发区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昆山开发区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昆山高新区的创新走廊，串联昆山南站、综合保税区等核心枢纽，依轴对接沪苏主城科创资源，沿轴拓展产业链、创新圈，推动重要产业、优质资源和关键要素向优势区域集聚，布局发展研发设计、数智服务、总部经济等优质业态，全面打造“昆山创造”强引擎。</w:t>
      </w:r>
    </w:p>
    <w:p w14:paraId="5978AC3D">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cs="Times New Roman"/>
          <w:sz w:val="32"/>
          <w:szCs w:val="32"/>
        </w:rPr>
        <w:t>——</w:t>
      </w:r>
      <w:r>
        <w:rPr>
          <w:rFonts w:hint="default" w:ascii="Times New Roman" w:hAnsi="Times New Roman" w:eastAsia="仿宋_GB2312" w:cs="Times New Roman"/>
          <w:sz w:val="32"/>
          <w:szCs w:val="32"/>
        </w:rPr>
        <w:t>构筑南北向长江路先进制造发展轴。打造贯穿南部三镇</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张浦镇</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千灯镇</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中心城区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周市镇的先进智造功能走廊，沿轴打造一批先进制造特色园区，做强新一代信息技术、智能装备、高端食品、绿色低碳、新材料、具身智能、低空经济等特色地标产业集群，持续提升昆山制造业核心竞争力，全面打造“昆山智造”强支撑。</w:t>
      </w:r>
    </w:p>
    <w:p w14:paraId="5FEC2BC6">
      <w:pPr>
        <w:overflowPunct w:val="0"/>
        <w:adjustRightInd w:val="0"/>
        <w:spacing w:after="0" w:line="600" w:lineRule="exact"/>
        <w:ind w:firstLine="640" w:firstLineChars="200"/>
        <w:rPr>
          <w:rFonts w:hint="default" w:ascii="Times New Roman" w:hAnsi="Times New Roman" w:eastAsia="楷体" w:cs="Times New Roman"/>
          <w:sz w:val="32"/>
          <w:szCs w:val="32"/>
        </w:rPr>
      </w:pPr>
      <w:r>
        <w:rPr>
          <w:rFonts w:hint="default" w:ascii="Times New Roman" w:hAnsi="Times New Roman" w:eastAsia="楷体" w:cs="Times New Roman"/>
          <w:sz w:val="32"/>
          <w:szCs w:val="32"/>
        </w:rPr>
        <w:t>4.组团发展</w:t>
      </w:r>
    </w:p>
    <w:p w14:paraId="4C47CF9E">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cs="Times New Roman"/>
          <w:sz w:val="32"/>
          <w:szCs w:val="32"/>
        </w:rPr>
        <w:t>——</w:t>
      </w:r>
      <w:r>
        <w:rPr>
          <w:rFonts w:hint="default" w:ascii="Times New Roman" w:hAnsi="Times New Roman" w:eastAsia="仿宋_GB2312" w:cs="Times New Roman"/>
          <w:sz w:val="32"/>
          <w:szCs w:val="32"/>
        </w:rPr>
        <w:t>立足建设昆山东部副中心，打造覆盖昆山开发区、花桥经济开发区、陆家镇的产城融合示范区。高标准建设青阳港中央商务区、夏驾河科创走廊、“金东环”宜居街区、轨交菉葭站等功能节点，依托夏驾河科创走廊、昆山综保区等，打造昆山先进制造增长极，当好苏州对接上海“桥头堡”。</w:t>
      </w:r>
    </w:p>
    <w:p w14:paraId="20541B56">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——以西部副中心为基础，打造覆盖昆山高新区和巴城镇的产业创新引领区，高标准规划建设大渔湾科创先导区、正仪历史文化片区，匠心雕琢城市庭院，加快</w:t>
      </w:r>
      <w:r>
        <w:rPr>
          <w:rFonts w:hint="default" w:ascii="Times New Roman" w:hAnsi="Times New Roman" w:eastAsia="仿宋_GB2312" w:cs="Times New Roman"/>
          <w:kern w:val="0"/>
          <w:sz w:val="32"/>
          <w:szCs w:val="32"/>
        </w:rPr>
        <w:t>南淞湖人工智能产业园</w:t>
      </w:r>
      <w:r>
        <w:rPr>
          <w:rFonts w:hint="default" w:ascii="Times New Roman" w:hAnsi="Times New Roman" w:eastAsia="仿宋_GB2312" w:cs="Times New Roman"/>
          <w:sz w:val="32"/>
          <w:szCs w:val="32"/>
        </w:rPr>
        <w:t>、森林公园东侧片区、沪士产业城等区域开发，打造昆山产业创新与科技创新融合主阵地。</w:t>
      </w:r>
    </w:p>
    <w:p w14:paraId="79BB20E8">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cs="Times New Roman"/>
          <w:sz w:val="32"/>
          <w:szCs w:val="32"/>
        </w:rPr>
        <w:t>——</w:t>
      </w:r>
      <w:r>
        <w:rPr>
          <w:rFonts w:hint="default" w:ascii="Times New Roman" w:hAnsi="Times New Roman" w:eastAsia="仿宋_GB2312" w:cs="Times New Roman"/>
          <w:sz w:val="32"/>
          <w:szCs w:val="32"/>
        </w:rPr>
        <w:t>以千灯镇、张浦镇为基础，打造特色强镇样板区。</w:t>
      </w:r>
      <w:r>
        <w:rPr>
          <w:rFonts w:hint="default" w:ascii="Times New Roman" w:hAnsi="Times New Roman" w:eastAsia="仿宋_GB2312" w:cs="Times New Roman"/>
          <w:color w:val="000000"/>
          <w:sz w:val="32"/>
          <w:szCs w:val="31"/>
        </w:rPr>
        <w:t>依托历史文化名镇底蕴和吴淞江生态廊道，统筹推进田园</w:t>
      </w:r>
      <w:r>
        <w:rPr>
          <w:rFonts w:hint="default" w:ascii="Times New Roman" w:hAnsi="Times New Roman" w:eastAsia="仿宋_GB2312" w:cs="Times New Roman"/>
          <w:sz w:val="32"/>
          <w:szCs w:val="32"/>
        </w:rPr>
        <w:t>乡村建设、城市功能提升、人居环境改善，加快吴淞江两岸城市有机更新步伐，推进千灯、淞南两大城市客厅建设，完善生活休闲、商业消费、总部商务、基础设施、居住改善等功能，提升小镇能级，推动由“镇”向“城”蝶变。</w:t>
      </w:r>
    </w:p>
    <w:p w14:paraId="4B7FD3EE">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以淀山湖、周庄、锦溪南部三镇为基础，打造江南文化样板区。向南融入长三角生态绿色一体化发展示范区，高标准建设锦绣客厅·立讯科学园，携手共建环淀山湖科创湖区，推进周庄古镇转型，深挖湖荡资源，构建蓝绿交织、湖田共生的生态网络，布局公园式小城市、复合型科创载体、慢生活湖岸线，构筑南部生态宜居滨湖城市副中心。</w:t>
      </w:r>
    </w:p>
    <w:p w14:paraId="26CF8872">
      <w:pPr>
        <w:overflowPunct w:val="0"/>
        <w:adjustRightInd w:val="0"/>
        <w:spacing w:after="0" w:line="240" w:lineRule="auto"/>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drawing>
          <wp:inline distT="0" distB="0" distL="0" distR="0">
            <wp:extent cx="4380865" cy="5534025"/>
            <wp:effectExtent l="0" t="0" r="635" b="9525"/>
            <wp:docPr id="7" name="图片 7" descr="C:\Users\seewo\Downloads\_cgi-bin_mmwebwx-bin_webwxgetmsgimg__&amp;MsgID=5397430057278921356&amp;skey=@crypt_19e83367_835c0f18a60fd245032da9af8e071c7e&amp;mmweb_appid=wx_webfilehelper (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seewo\Downloads\_cgi-bin_mmwebwx-bin_webwxgetmsgimg__&amp;MsgID=5397430057278921356&amp;skey=@crypt_19e83367_835c0f18a60fd245032da9af8e071c7e&amp;mmweb_appid=wx_webfilehelper (1).jfif"/>
                    <pic:cNvPicPr>
                      <a:picLocks noChangeAspect="1" noChangeArrowheads="1"/>
                    </pic:cNvPicPr>
                  </pic:nvPicPr>
                  <pic:blipFill>
                    <a:blip r:embed="rId13">
                      <a:extLst>
                        <a:ext uri="{28A0092B-C50C-407E-A947-70E740481C1C}">
                          <a14:useLocalDpi xmlns:a14="http://schemas.microsoft.com/office/drawing/2010/main" val="0"/>
                        </a:ext>
                      </a:extLst>
                    </a:blip>
                    <a:srcRect l="4922" t="6088" r="4676" b="7447"/>
                    <a:stretch>
                      <a:fillRect/>
                    </a:stretch>
                  </pic:blipFill>
                  <pic:spPr>
                    <a:xfrm>
                      <a:off x="0" y="0"/>
                      <a:ext cx="4381161" cy="5534482"/>
                    </a:xfrm>
                    <a:prstGeom prst="rect">
                      <a:avLst/>
                    </a:prstGeom>
                    <a:noFill/>
                    <a:ln>
                      <a:noFill/>
                    </a:ln>
                  </pic:spPr>
                </pic:pic>
              </a:graphicData>
            </a:graphic>
          </wp:inline>
        </w:drawing>
      </w:r>
    </w:p>
    <w:p w14:paraId="0F190B36">
      <w:pPr>
        <w:overflowPunct w:val="0"/>
        <w:adjustRightInd w:val="0"/>
        <w:spacing w:after="156" w:afterLines="50" w:line="600" w:lineRule="exact"/>
        <w:jc w:val="center"/>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t>图2  “主城强心+片区支撑+两轴联动+组团发展”空间布局</w:t>
      </w:r>
    </w:p>
    <w:p w14:paraId="671DE74F">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583" w:name="_Toc1453"/>
      <w:bookmarkStart w:id="584" w:name="_Toc1717"/>
      <w:bookmarkStart w:id="585" w:name="_Toc29866"/>
      <w:r>
        <w:rPr>
          <w:rFonts w:hint="default" w:ascii="Times New Roman" w:hAnsi="Times New Roman" w:eastAsia="楷体" w:cs="Times New Roman"/>
          <w:sz w:val="32"/>
          <w:szCs w:val="32"/>
        </w:rPr>
        <w:t>第二节 大力实施城市更新改造</w:t>
      </w:r>
      <w:bookmarkEnd w:id="583"/>
      <w:bookmarkEnd w:id="584"/>
      <w:bookmarkEnd w:id="585"/>
    </w:p>
    <w:p w14:paraId="37670C96">
      <w:pPr>
        <w:overflowPunct w:val="0"/>
        <w:topLinePunct/>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加快城镇老旧区域改造提升。</w:t>
      </w:r>
      <w:r>
        <w:rPr>
          <w:rFonts w:hint="default" w:ascii="Times New Roman" w:hAnsi="Times New Roman" w:eastAsia="仿宋_GB2312" w:cs="Times New Roman"/>
          <w:sz w:val="32"/>
          <w:szCs w:val="32"/>
        </w:rPr>
        <w:t>实施城市更新专项行动，系统推进既有建筑、老旧小区、老旧街区、老旧厂区、城中村等更新改造，建设好房子、好小区、好社区、好城区。按照“留改拆”并举思路，“针灸式”推进老旧小区改造，加快更新燃气等老化管线管道，支持有条件的楼栋加装电梯，完善小区停车、充电、消防、通信等配套基础设施，呵护老城肌理，延续市井气息。推进老旧街区功能转化、业态升级，优化街区交通组织，提升公共空间品质，因地制宜打造一批活力街区。加强工业遗址、老旧粮库活化利用，推进工业地块集中连片改造，提升低效用地利用效率。</w:t>
      </w:r>
    </w:p>
    <w:p w14:paraId="4602B96C">
      <w:pPr>
        <w:overflowPunct w:val="0"/>
        <w:spacing w:after="0"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建立多元参与可持续更新模式。</w:t>
      </w:r>
      <w:r>
        <w:rPr>
          <w:rFonts w:hint="default" w:ascii="Times New Roman" w:hAnsi="Times New Roman" w:eastAsia="仿宋_GB2312" w:cs="Times New Roman"/>
          <w:sz w:val="32"/>
          <w:szCs w:val="32"/>
        </w:rPr>
        <w:t>密切关注国家在历史文化保护传承、城市更新等领域政策，争取更多项目纳入上级支持范围。引导金融机构参与城市更新，研究设立城市更新基金，完善特许经营、授权开发等制度安排，为社会资本提供稳定、可预期的参与环境。践行“共同缔造”理念，鼓励产权人自主更新，探索形成“居民出资、政府支持”的“自筹自建”新模式，激发居民参与更新的内生动力。探索建立土地增值收益共享机制，通过“居民出资+市场投入+财政补贴”方式，实现成本共担与利益均衡。</w:t>
      </w:r>
    </w:p>
    <w:p w14:paraId="57B8A079">
      <w:pPr>
        <w:overflowPunct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着力提升城市安全韧性能级。</w:t>
      </w:r>
      <w:r>
        <w:rPr>
          <w:rFonts w:hint="default" w:ascii="Times New Roman" w:hAnsi="Times New Roman" w:eastAsia="仿宋_GB2312" w:cs="Times New Roman"/>
          <w:color w:val="000000"/>
          <w:kern w:val="21"/>
          <w:sz w:val="32"/>
          <w:szCs w:val="32"/>
        </w:rPr>
        <w:t>推进城市生命线建设，加强对各类基础设施风险识别、智能监测，推进青阳港中央商务区等区域及道路地下综合管网管廊建设改造。有序推进一批海绵城市项目，到2030年建成区海绵城市建设达标率达80%。完善“平急两用”公共基础设施，建设夏驾河湿地公园、柏庐公园等大型综合应急避难场所。制订应急风险目录，提升多灾种和灾害链监测识别、预警治理水平。建立房屋全生命周期安全管理制度。实施“六片三河”等洪涝安全韧性提升工程，完善防洪除涝、生态环境及供排水安全保障体系，构建“汛旱无虞</w:t>
      </w:r>
      <w:r>
        <w:rPr>
          <w:rFonts w:hint="default" w:ascii="Times New Roman" w:hAnsi="Times New Roman" w:eastAsia="仿宋_GB2312" w:cs="Times New Roman"/>
          <w:color w:val="000000"/>
          <w:kern w:val="21"/>
          <w:sz w:val="32"/>
          <w:szCs w:val="32"/>
          <w:lang w:eastAsia="zh-CN"/>
        </w:rPr>
        <w:t>、</w:t>
      </w:r>
      <w:r>
        <w:rPr>
          <w:rFonts w:hint="default" w:ascii="Times New Roman" w:hAnsi="Times New Roman" w:eastAsia="仿宋_GB2312" w:cs="Times New Roman"/>
          <w:color w:val="000000"/>
          <w:kern w:val="21"/>
          <w:sz w:val="32"/>
          <w:szCs w:val="32"/>
        </w:rPr>
        <w:t>碧水长治</w:t>
      </w:r>
      <w:r>
        <w:rPr>
          <w:rFonts w:hint="default" w:ascii="Times New Roman" w:hAnsi="Times New Roman" w:eastAsia="仿宋_GB2312" w:cs="Times New Roman"/>
          <w:color w:val="000000"/>
          <w:kern w:val="21"/>
          <w:sz w:val="32"/>
          <w:szCs w:val="32"/>
          <w:lang w:eastAsia="zh-CN"/>
        </w:rPr>
        <w:t>、</w:t>
      </w:r>
      <w:r>
        <w:rPr>
          <w:rFonts w:hint="default" w:ascii="Times New Roman" w:hAnsi="Times New Roman" w:eastAsia="仿宋_GB2312" w:cs="Times New Roman"/>
          <w:color w:val="000000"/>
          <w:kern w:val="21"/>
          <w:sz w:val="32"/>
          <w:szCs w:val="32"/>
        </w:rPr>
        <w:t>立体固安”的韧性昆山。</w:t>
      </w:r>
    </w:p>
    <w:p w14:paraId="350052B2">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586" w:name="_Toc28028"/>
      <w:bookmarkStart w:id="587" w:name="_Toc16090"/>
      <w:bookmarkStart w:id="588" w:name="_Toc23021"/>
      <w:r>
        <w:rPr>
          <w:rFonts w:hint="default" w:ascii="Times New Roman" w:hAnsi="Times New Roman" w:eastAsia="楷体" w:cs="Times New Roman"/>
          <w:sz w:val="32"/>
          <w:szCs w:val="32"/>
        </w:rPr>
        <w:t>第三节 构筑现代基础设施体系</w:t>
      </w:r>
      <w:bookmarkEnd w:id="586"/>
      <w:bookmarkEnd w:id="587"/>
      <w:bookmarkEnd w:id="588"/>
    </w:p>
    <w:p w14:paraId="52388BE7">
      <w:pPr>
        <w:overflowPunct w:val="0"/>
        <w:topLinePunct/>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适度超前布局新型基础设施。</w:t>
      </w:r>
      <w:r>
        <w:rPr>
          <w:rFonts w:hint="default" w:ascii="Times New Roman" w:hAnsi="Times New Roman" w:eastAsia="仿宋_GB2312" w:cs="Times New Roman"/>
          <w:sz w:val="32"/>
          <w:szCs w:val="32"/>
        </w:rPr>
        <w:t>落实国家大模型智能算力布局要求，加快推进智能算力中心建设，力争“十五五”期间算力规模达50000P。聚焦政务领域，打造高效、绿色、可控的自有算力设施。部署新型城域网，实现“算力”“云”和“网”在逻辑架构、资源管理和服务调度方面逐步融合。加快“千兆城市”建设，升级改造移动5G</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A网络，前瞻布局6G、卫星互联网等设施。打造智慧能源设施，建设“天枢甄选”能碳平台，赋能能源系统高效运行，实现“源网荷储”协同柔性互济。启动民用无人机试飞运行基地和全域低空飞行器起降点网络建设。</w:t>
      </w:r>
    </w:p>
    <w:p w14:paraId="23098F81">
      <w:pPr>
        <w:overflowPunct w:val="0"/>
        <w:topLinePunct/>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构建多层次综合交通网。</w:t>
      </w:r>
      <w:r>
        <w:rPr>
          <w:rFonts w:hint="default" w:ascii="Times New Roman" w:hAnsi="Times New Roman" w:eastAsia="仿宋_GB2312" w:cs="Times New Roman"/>
          <w:sz w:val="32"/>
          <w:szCs w:val="32"/>
        </w:rPr>
        <w:t>加快沪通铁路二期建设，研究推动苏淀沪城际铁路。完善轨道交通网络，研究实施苏州市域轨交9号线。推进快速“双环”闭环，加快634国道、312国道等快速路工程建设，推动柏庐路南延、锦甪路等城市断头路、瓶颈路贯通扩容。落实公交优先发展理念，推进轨道站点、沿线公交线网、慢行交通网融合，沿苏州轨交11号线调整优化一批公交微循环线路，推动慢行交通与公共交通有机衔接。强化定制化公共交通供给，聚焦产业集聚区、生活居住区，推出“需求响应型”公交服务。加大停车泊位供给，新增泊位50000个。推进智慧交通建设，运用人工智能技术提升交通智能化管理水平。</w:t>
      </w:r>
    </w:p>
    <w:p w14:paraId="7A543396">
      <w:pPr>
        <w:overflowPunct w:val="0"/>
        <w:topLinePunct/>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优化现代化对外流通体系。</w:t>
      </w:r>
      <w:r>
        <w:rPr>
          <w:rFonts w:hint="default" w:ascii="Times New Roman" w:hAnsi="Times New Roman" w:eastAsia="仿宋_GB2312" w:cs="Times New Roman"/>
          <w:sz w:val="32"/>
          <w:szCs w:val="32"/>
        </w:rPr>
        <w:t>大力发展海江河、公铁水多式联运，推动交通物流降本增效。积极推进公转水、公转铁，重点打造陆家浜国际物流综合枢纽，建设集“公铁水空”、物流服务、产业制造、贸易展示等功能为一体的综合型现代化枢纽。打通昆山与太仓港、外高桥港铁路通道，构建“港口</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铁路</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产业”高效联动物流体系。做大航空运输，深化长三角国际空港昆山物流中心建设，打造“口岸型、直通型”综合性航空前置货站。深化“快递进厂”工程，推进邮政快递业融入先进产业集群。加快“快递出海”步伐，支持物流企业布局建设海外仓，推动电商与物流协同融合发展。</w:t>
      </w:r>
    </w:p>
    <w:p w14:paraId="557CFFD4">
      <w:pPr>
        <w:overflowPunct w:val="0"/>
        <w:adjustRightInd w:val="0"/>
        <w:spacing w:after="0" w:line="600" w:lineRule="exact"/>
        <w:jc w:val="center"/>
        <w:outlineLvl w:val="2"/>
        <w:rPr>
          <w:rFonts w:hint="default" w:ascii="Times New Roman" w:hAnsi="Times New Roman" w:eastAsia="楷体" w:cs="Times New Roman"/>
          <w:sz w:val="32"/>
          <w:szCs w:val="32"/>
        </w:rPr>
      </w:pPr>
      <w:bookmarkStart w:id="589" w:name="_Toc30479"/>
      <w:bookmarkStart w:id="590" w:name="_Toc16079"/>
      <w:bookmarkStart w:id="591" w:name="_Toc15902"/>
      <w:r>
        <w:rPr>
          <w:rFonts w:hint="default" w:ascii="Times New Roman" w:hAnsi="Times New Roman" w:eastAsia="楷体" w:cs="Times New Roman"/>
          <w:sz w:val="32"/>
          <w:szCs w:val="32"/>
        </w:rPr>
        <w:t>第四节 塑造青春时尚绚丽城市</w:t>
      </w:r>
      <w:bookmarkEnd w:id="589"/>
      <w:bookmarkEnd w:id="590"/>
      <w:bookmarkEnd w:id="591"/>
    </w:p>
    <w:p w14:paraId="200CF6E4">
      <w:pPr>
        <w:overflowPunct w:val="0"/>
        <w:adjustRightInd w:val="0"/>
        <w:spacing w:after="0" w:line="600" w:lineRule="exact"/>
        <w:ind w:firstLine="640" w:firstLineChars="200"/>
        <w:jc w:val="both"/>
        <w:rPr>
          <w:rFonts w:hint="default" w:ascii="Times New Roman" w:hAnsi="Times New Roman" w:eastAsia="楷体" w:cs="Times New Roman"/>
          <w:sz w:val="32"/>
          <w:szCs w:val="32"/>
        </w:rPr>
      </w:pPr>
      <w:r>
        <w:rPr>
          <w:rFonts w:hint="default" w:ascii="Times New Roman" w:hAnsi="Times New Roman" w:eastAsia="楷体" w:cs="Times New Roman"/>
          <w:sz w:val="32"/>
          <w:szCs w:val="32"/>
        </w:rPr>
        <w:t>建设青年创业逐梦首选地。</w:t>
      </w:r>
      <w:r>
        <w:rPr>
          <w:rFonts w:hint="default" w:ascii="Times New Roman" w:hAnsi="Times New Roman" w:eastAsia="仿宋_GB2312" w:cs="Times New Roman"/>
          <w:sz w:val="32"/>
          <w:szCs w:val="32"/>
          <w:lang w:bidi="ar"/>
        </w:rPr>
        <w:t>实施青年创业“逐梦”计划，探索推出一批“0租金”青年创新载体，加大OPC社区、创业投资孵化机构、小微企业“双创”示范基地、留学生创业园等建设力度。健全创业培训、创业服务、创业孵化、创业活动支持体系</w:t>
      </w:r>
      <w:r>
        <w:rPr>
          <w:rFonts w:hint="default" w:ascii="Times New Roman" w:hAnsi="Times New Roman" w:eastAsia="仿宋_GB2312" w:cs="Times New Roman"/>
          <w:sz w:val="32"/>
          <w:szCs w:val="32"/>
        </w:rPr>
        <w:t>，鼓励创业投资引导基金、天使投资基金等加强对青年创业项目扶持。实施青年创业“风险池”基金项目，鼓励金融机构对符合条件的青年创业企业给予信贷优惠。</w:t>
      </w:r>
      <w:r>
        <w:rPr>
          <w:rFonts w:hint="default" w:ascii="Times New Roman" w:hAnsi="Times New Roman" w:eastAsia="仿宋_GB2312" w:cs="Times New Roman"/>
          <w:sz w:val="32"/>
          <w:szCs w:val="32"/>
          <w:lang w:bidi="ar"/>
        </w:rPr>
        <w:t>打响“华灿奖”新锐设计品牌，开展“科创咖啡厅”“链上人才”、职业指导、创业大赛等交流活动，营造更优创业生态。</w:t>
      </w:r>
    </w:p>
    <w:p w14:paraId="706521DF">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建设青年欢乐体验新场景。</w:t>
      </w:r>
      <w:r>
        <w:rPr>
          <w:rFonts w:hint="default" w:ascii="Times New Roman" w:hAnsi="Times New Roman" w:eastAsia="仿宋_GB2312" w:cs="Times New Roman"/>
          <w:sz w:val="32"/>
          <w:szCs w:val="32"/>
        </w:rPr>
        <w:t>布局青年时尚潮玩世界，围绕“它经济”“谷子经济”“粉丝经济”等潮流元素，举办电子竞技、动漫展会、潮玩手办、主题市集等商业活动，推出更多青年喜闻乐见的新业态、新场景。积极承办大型文体活动，将闲置厂房、桥下空间等改造为演艺运动空间，打造一批青年喜爱的江南小剧场，谋划一批青年玩乐体验线路，打响“来昆山FUN肆玩”品牌。常态化组织青年夜校、交友联谊、文化娱乐等社群活动，满足青年社交圈需求。</w:t>
      </w:r>
    </w:p>
    <w:p w14:paraId="76731DC4">
      <w:pPr>
        <w:overflowPunct w:val="0"/>
        <w:topLinePunct/>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建设青年品质生活新家园。</w:t>
      </w:r>
      <w:r>
        <w:rPr>
          <w:rFonts w:hint="default" w:ascii="Times New Roman" w:hAnsi="Times New Roman" w:eastAsia="仿宋_GB2312" w:cs="Times New Roman"/>
          <w:sz w:val="32"/>
          <w:szCs w:val="32"/>
        </w:rPr>
        <w:t>在夏驾河、智谷小镇、花家湾、环淀山湖等区域建设高品质人才示范社区。推进青年人才驿站建设，为初到昆山求职青年提供免费住宿。完善人才公寓体系，加快集宿区“适青化”改造提升。为青年提供更好生活照料，完善“鹿城青年伙伴”数字服务平台，提供驿站入住、就业创业指导、生活便利、婚恋交友等集成服务。为青年提供优生优育优养全周期服务，加强对随迁老人关爱，减轻青年赡养老人压力。</w:t>
      </w:r>
    </w:p>
    <w:p w14:paraId="7D1CFBC1">
      <w:pPr>
        <w:overflowPunct w:val="0"/>
        <w:topLinePunct/>
        <w:adjustRightInd w:val="0"/>
        <w:spacing w:before="156" w:beforeLines="50" w:after="156" w:afterLines="50" w:line="600" w:lineRule="exact"/>
        <w:jc w:val="center"/>
        <w:outlineLvl w:val="1"/>
        <w:rPr>
          <w:rFonts w:hint="default" w:ascii="Times New Roman" w:hAnsi="Times New Roman" w:eastAsia="黑体" w:cs="Times New Roman"/>
          <w:sz w:val="32"/>
          <w:szCs w:val="32"/>
        </w:rPr>
      </w:pPr>
      <w:bookmarkStart w:id="592" w:name="_Toc23285"/>
      <w:bookmarkStart w:id="593" w:name="_Toc11477"/>
      <w:bookmarkStart w:id="594" w:name="_Toc20987"/>
      <w:r>
        <w:rPr>
          <w:rFonts w:hint="default" w:ascii="Times New Roman" w:hAnsi="Times New Roman" w:eastAsia="黑体" w:cs="Times New Roman"/>
          <w:sz w:val="32"/>
          <w:szCs w:val="32"/>
        </w:rPr>
        <w:t>第十一章 建设便捷高效智慧城市</w:t>
      </w:r>
      <w:bookmarkEnd w:id="592"/>
      <w:bookmarkEnd w:id="593"/>
      <w:bookmarkEnd w:id="594"/>
    </w:p>
    <w:p w14:paraId="5299DCBE">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面落实国家推进“人工智能+”实施意见，围绕服务实体经济和百姓民生，坚持场景赋能、应用牵引，加快人工智能场景培育开放和大规模应用，推动人工智能对传统终端产品再改造、对企业生产流程再改造、对算力产业生态再改造，把昆山打造成“人工智能+”“数字要素×”智慧城市。</w:t>
      </w:r>
    </w:p>
    <w:p w14:paraId="3A512292">
      <w:pPr>
        <w:overflowPunct w:val="0"/>
        <w:topLinePunct/>
        <w:adjustRightInd w:val="0"/>
        <w:spacing w:after="0" w:line="600" w:lineRule="exact"/>
        <w:jc w:val="center"/>
        <w:outlineLvl w:val="2"/>
        <w:rPr>
          <w:rFonts w:hint="default" w:ascii="Times New Roman" w:hAnsi="Times New Roman" w:eastAsia="楷体" w:cs="Times New Roman"/>
          <w:color w:val="000000" w:themeColor="text1"/>
          <w:sz w:val="32"/>
          <w:szCs w:val="32"/>
          <w14:textFill>
            <w14:solidFill>
              <w14:schemeClr w14:val="tx1"/>
            </w14:solidFill>
          </w14:textFill>
        </w:rPr>
      </w:pPr>
      <w:bookmarkStart w:id="595" w:name="_Toc18482"/>
      <w:bookmarkStart w:id="596" w:name="_Toc27464"/>
      <w:bookmarkStart w:id="597" w:name="_Toc13027"/>
      <w:r>
        <w:rPr>
          <w:rFonts w:hint="default" w:ascii="Times New Roman" w:hAnsi="Times New Roman" w:eastAsia="楷体" w:cs="Times New Roman"/>
          <w:color w:val="000000" w:themeColor="text1"/>
          <w:sz w:val="32"/>
          <w:szCs w:val="32"/>
          <w14:textFill>
            <w14:solidFill>
              <w14:schemeClr w14:val="tx1"/>
            </w14:solidFill>
          </w14:textFill>
        </w:rPr>
        <w:t>第一节 推进智能经济发展</w:t>
      </w:r>
      <w:bookmarkEnd w:id="595"/>
      <w:bookmarkEnd w:id="596"/>
      <w:bookmarkEnd w:id="597"/>
    </w:p>
    <w:p w14:paraId="1D7BB2A2">
      <w:pPr>
        <w:overflowPunct w:val="0"/>
        <w:topLinePunct/>
        <w:adjustRightInd w:val="0"/>
        <w:spacing w:after="0" w:line="600" w:lineRule="exact"/>
        <w:ind w:firstLine="640" w:firstLineChars="20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深化人工智能和制造业融合。</w:t>
      </w:r>
      <w:r>
        <w:rPr>
          <w:rFonts w:hint="default" w:ascii="Times New Roman" w:hAnsi="Times New Roman" w:eastAsia="仿宋_GB2312" w:cs="Times New Roman"/>
          <w:color w:val="000000" w:themeColor="text1"/>
          <w:sz w:val="32"/>
          <w:szCs w:val="32"/>
          <w14:textFill>
            <w14:solidFill>
              <w14:schemeClr w14:val="tx1"/>
            </w14:solidFill>
          </w14:textFill>
        </w:rPr>
        <w:t>实施“AI+制造”专项行动，推动工业全流程智能化改造，加快人工智能在设计、中试、生产、服务、运营全环节深度应用，深度发掘一批可复制的数智化应用场景。深化人工智能与工业互联网融合，打造更多行业级、企业级工业互联网平台，</w:t>
      </w:r>
      <w:r>
        <w:rPr>
          <w:rFonts w:hint="default" w:ascii="Times New Roman" w:hAnsi="Times New Roman" w:eastAsia="仿宋_GB2312" w:cs="Times New Roman"/>
          <w:color w:val="000000" w:themeColor="text1"/>
          <w:sz w:val="32"/>
          <w:szCs w:val="36"/>
          <w14:textFill>
            <w14:solidFill>
              <w14:schemeClr w14:val="tx1"/>
            </w14:solidFill>
          </w14:textFill>
        </w:rPr>
        <w:t>支持企业搭建面向半导体、智能终端等领域的垂直行业平台</w:t>
      </w:r>
      <w:r>
        <w:rPr>
          <w:rFonts w:hint="default" w:ascii="Times New Roman" w:hAnsi="Times New Roman" w:eastAsia="仿宋_GB2312" w:cs="Times New Roman"/>
          <w:color w:val="000000" w:themeColor="text1"/>
          <w:sz w:val="32"/>
          <w:szCs w:val="32"/>
          <w14:textFill>
            <w14:solidFill>
              <w14:schemeClr w14:val="tx1"/>
            </w14:solidFill>
          </w14:textFill>
        </w:rPr>
        <w:t>。构建一批高质量工业数据集，在智能制造、智能终端、新能源汽车等领域率先培育一批特色化行业垂类大模型和轻量化专业小模型。探索建设工业场景数据加工中心和专业模型训练基地，推动模型开发、验证与迭代本地化，加快成熟应用解决方案推广。</w:t>
      </w:r>
    </w:p>
    <w:p w14:paraId="6C414EB9">
      <w:pPr>
        <w:overflowPunct w:val="0"/>
        <w:spacing w:after="0" w:line="600" w:lineRule="exact"/>
        <w:ind w:firstLine="640" w:firstLineChars="20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推动人工智能赋能产业创新。</w:t>
      </w:r>
      <w:r>
        <w:rPr>
          <w:rFonts w:hint="default" w:ascii="Times New Roman" w:hAnsi="Times New Roman" w:eastAsia="仿宋_GB2312" w:cs="Times New Roman"/>
          <w:color w:val="000000" w:themeColor="text1"/>
          <w:sz w:val="32"/>
          <w:szCs w:val="32"/>
          <w14:textFill>
            <w14:solidFill>
              <w14:schemeClr w14:val="tx1"/>
            </w14:solidFill>
          </w14:textFill>
        </w:rPr>
        <w:t>探索人工智能驱动的新型科研范式，形成“问题定义</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模型构建</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仿真验证</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成果转化”的全链条智能化科研模式。大力</w:t>
      </w:r>
      <w:r>
        <w:rPr>
          <w:rFonts w:hint="default" w:ascii="Times New Roman" w:hAnsi="Times New Roman" w:eastAsia="仿宋_GB2312" w:cs="Times New Roman"/>
          <w:color w:val="000000" w:themeColor="text1"/>
          <w:sz w:val="32"/>
          <w:szCs w:val="36"/>
          <w14:textFill>
            <w14:solidFill>
              <w14:schemeClr w14:val="tx1"/>
            </w14:solidFill>
          </w14:textFill>
        </w:rPr>
        <w:t>提升数字技术、数字人才招引能力，吸引前沿AI模型团队、智能机器人研发企业等优质主体落户，打造数字技术创新策源地。</w:t>
      </w:r>
      <w:r>
        <w:rPr>
          <w:rFonts w:hint="default" w:ascii="Times New Roman" w:hAnsi="Times New Roman" w:eastAsia="仿宋_GB2312" w:cs="Times New Roman"/>
          <w:color w:val="000000" w:themeColor="text1"/>
          <w:sz w:val="32"/>
          <w:szCs w:val="32"/>
          <w14:textFill>
            <w14:solidFill>
              <w14:schemeClr w14:val="tx1"/>
            </w14:solidFill>
          </w14:textFill>
        </w:rPr>
        <w:t>支持智能化研发工具和平台推广应用，加强人工智能与新型显示、未来能源、高端食品、生物医药等新兴产业技术协同创新，探索建立场景创新共同体，加速“从1到N”技术落地和迭代突破。面向信息、金融、商务等服务业领域，培育智能设计、虚拟设计、众包设计等新业态，探索“一人公司+人工智能协作”等新型组织形态孵化成长模式。</w:t>
      </w:r>
    </w:p>
    <w:p w14:paraId="26614FF3">
      <w:pPr>
        <w:ind w:firstLine="640" w:firstLineChars="200"/>
        <w:rPr>
          <w:rFonts w:hint="default" w:ascii="Times New Roman" w:hAnsi="Times New Roman" w:cs="Times New Roman"/>
        </w:rPr>
      </w:pPr>
      <w:bookmarkStart w:id="598" w:name="_Toc25768"/>
      <w:bookmarkStart w:id="599" w:name="_Toc11812"/>
      <w:r>
        <w:rPr>
          <w:rFonts w:hint="default" w:ascii="Times New Roman" w:hAnsi="Times New Roman" w:eastAsia="楷体_GB2312" w:cs="Times New Roman"/>
          <w:color w:val="000000" w:themeColor="text1"/>
          <w:sz w:val="32"/>
          <w:szCs w:val="32"/>
          <w14:textFill>
            <w14:solidFill>
              <w14:schemeClr w14:val="tx1"/>
            </w14:solidFill>
          </w14:textFill>
        </w:rPr>
        <w:t>加快打造人工智能载体平台。</w:t>
      </w:r>
      <w:r>
        <w:rPr>
          <w:rFonts w:hint="default" w:ascii="Times New Roman" w:hAnsi="Times New Roman" w:eastAsia="仿宋_GB2312" w:cs="Times New Roman"/>
          <w:color w:val="000000" w:themeColor="text1"/>
          <w:sz w:val="32"/>
          <w:szCs w:val="32"/>
          <w14:textFill>
            <w14:solidFill>
              <w14:schemeClr w14:val="tx1"/>
            </w14:solidFill>
          </w14:textFill>
        </w:rPr>
        <w:t>构筑以南淞湖人工智能产业园、全球数字创新港、夏驾河科创走廊、淀山湖魔滴空间为引领的“一湖一港一廊一空间”OPC社区网络，联动留学生创业园、百富科创孵化器、鑫欣科创、晨风时尚创意村、科创尚明甸、六加数字创意园、阳澄创源、铱工场等孵化空间，打造一批专业化OPC标杆社区，构建集普惠算力、共享数据、模型服务、场景链接、金融投资、专业服务等于一体的一站式赋能平台。用好人工智能产业基金，支持链主企业做大做强，引育一批模型公司，发展一批智能原生技术、产品和服务体系，培育一批智能原生企业。到2030年，人工智能核心产业产值规模超1500亿元。</w:t>
      </w:r>
    </w:p>
    <w:p w14:paraId="6DFDFD52">
      <w:pPr>
        <w:overflowPunct w:val="0"/>
        <w:topLinePunct/>
        <w:adjustRightInd w:val="0"/>
        <w:spacing w:after="0" w:line="600" w:lineRule="exact"/>
        <w:jc w:val="center"/>
        <w:outlineLvl w:val="2"/>
        <w:rPr>
          <w:rFonts w:hint="default" w:ascii="Times New Roman" w:hAnsi="Times New Roman" w:eastAsia="楷体" w:cs="Times New Roman"/>
          <w:color w:val="000000" w:themeColor="text1"/>
          <w:sz w:val="32"/>
          <w:szCs w:val="32"/>
          <w14:textFill>
            <w14:solidFill>
              <w14:schemeClr w14:val="tx1"/>
            </w14:solidFill>
          </w14:textFill>
        </w:rPr>
      </w:pPr>
      <w:bookmarkStart w:id="600" w:name="_Toc21377"/>
      <w:r>
        <w:rPr>
          <w:rFonts w:hint="default" w:ascii="Times New Roman" w:hAnsi="Times New Roman" w:eastAsia="楷体" w:cs="Times New Roman"/>
          <w:color w:val="000000" w:themeColor="text1"/>
          <w:sz w:val="32"/>
          <w:szCs w:val="32"/>
          <w14:textFill>
            <w14:solidFill>
              <w14:schemeClr w14:val="tx1"/>
            </w14:solidFill>
          </w14:textFill>
        </w:rPr>
        <w:t>第二节 优化智能服务供给</w:t>
      </w:r>
      <w:bookmarkEnd w:id="598"/>
      <w:bookmarkEnd w:id="599"/>
      <w:bookmarkEnd w:id="600"/>
    </w:p>
    <w:p w14:paraId="46619D79">
      <w:pPr>
        <w:overflowPunct w:val="0"/>
        <w:topLinePunct/>
        <w:adjustRightInd w:val="0"/>
        <w:spacing w:after="0" w:line="600" w:lineRule="exact"/>
        <w:ind w:firstLine="640" w:firstLineChars="20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推进人工智能赋能全民教育。</w:t>
      </w:r>
      <w:r>
        <w:rPr>
          <w:rFonts w:hint="default" w:ascii="Times New Roman" w:hAnsi="Times New Roman" w:eastAsia="仿宋_GB2312" w:cs="Times New Roman"/>
          <w:color w:val="000000" w:themeColor="text1"/>
          <w:sz w:val="32"/>
          <w:szCs w:val="32"/>
          <w14:textFill>
            <w14:solidFill>
              <w14:schemeClr w14:val="tx1"/>
            </w14:solidFill>
          </w14:textFill>
        </w:rPr>
        <w:t>将人工智能融入教育教学全要素、全过程，升级人工智能教学平台，共享优质教学资源，全面赋能学生学习、教师教学和教育创新。开发适配小学、初高中、职校等各层级学生水平的AI课程体系，构建智能化情景交互学习模式，创新智能学伴、智能教师等人机协同教育教学新模式。关注学生心理健康，试点应用学生心理健康AI系统。推进智慧校园建设，升级智慧教育云平台，开发学校管理智能体，开展学校基础数据、业务数据、教学数据综合治理，构建校园大脑，支撑教务管理、教师考评、教学评估、校园安防。</w:t>
      </w:r>
    </w:p>
    <w:p w14:paraId="58DCBB49">
      <w:pPr>
        <w:overflowPunct w:val="0"/>
        <w:topLinePunct/>
        <w:adjustRightInd w:val="0"/>
        <w:spacing w:after="0" w:line="600" w:lineRule="exact"/>
        <w:ind w:firstLine="640" w:firstLineChars="20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推进人工智能赋能医疗服务。</w:t>
      </w:r>
      <w:r>
        <w:rPr>
          <w:rFonts w:hint="default" w:ascii="Times New Roman" w:hAnsi="Times New Roman" w:eastAsia="仿宋_GB2312" w:cs="Times New Roman"/>
          <w:color w:val="000000" w:themeColor="text1"/>
          <w:sz w:val="32"/>
          <w:szCs w:val="32"/>
          <w14:textFill>
            <w14:solidFill>
              <w14:schemeClr w14:val="tx1"/>
            </w14:solidFill>
          </w14:textFill>
        </w:rPr>
        <w:t>围绕区域医疗资源均衡配置与居民全周期健康服务需求，构建集约高效、互联互通的数智医共体，将远程医疗延伸到乡村，推行基层检查、上级诊断、结果互认。加强数据安全和隐私保护，健全数据安全管理制度和技术防护体系。推进智慧医院建设，构建覆盖诊前、诊中、诊后全流程智能辅助诊疗体系，实现智能诊疗、个人健康画像、医疗质控、疾病早筛等场景深度应用。优化升级“鹿路通”APP等统一服务门户，推动医疗机构信息“一图可览”、健康服务内容“一网通享”、个人健康档案“一键可知”。</w:t>
      </w:r>
    </w:p>
    <w:p w14:paraId="050E35EA">
      <w:pPr>
        <w:overflowPunct w:val="0"/>
        <w:topLinePunct/>
        <w:adjustRightInd w:val="0"/>
        <w:spacing w:after="0" w:line="600" w:lineRule="exact"/>
        <w:ind w:firstLine="640" w:firstLineChars="200"/>
        <w:jc w:val="both"/>
        <w:rPr>
          <w:rFonts w:hint="default" w:ascii="Times New Roman" w:hAnsi="Times New Roman" w:eastAsia="仿宋_GB2312" w:cs="Times New Roman"/>
          <w:color w:val="000000" w:themeColor="text1"/>
          <w:sz w:val="32"/>
          <w:szCs w:val="32"/>
          <w:lang w:bidi="ar"/>
          <w14:textFill>
            <w14:solidFill>
              <w14:schemeClr w14:val="tx1"/>
            </w14:solidFill>
          </w14:textFill>
        </w:rPr>
      </w:pPr>
      <w:r>
        <w:rPr>
          <w:rFonts w:hint="default" w:ascii="Times New Roman" w:hAnsi="Times New Roman" w:eastAsia="楷体" w:cs="Times New Roman"/>
          <w:color w:val="000000" w:themeColor="text1"/>
          <w:sz w:val="32"/>
          <w:szCs w:val="32"/>
          <w:lang w:bidi="ar"/>
          <w14:textFill>
            <w14:solidFill>
              <w14:schemeClr w14:val="tx1"/>
            </w14:solidFill>
          </w14:textFill>
        </w:rPr>
        <w:t>推进人工智能赋能养老服务。</w:t>
      </w:r>
      <w:r>
        <w:rPr>
          <w:rFonts w:hint="default" w:ascii="Times New Roman" w:hAnsi="Times New Roman" w:eastAsia="仿宋_GB2312" w:cs="Times New Roman"/>
          <w:color w:val="000000" w:themeColor="text1"/>
          <w:sz w:val="32"/>
          <w:szCs w:val="32"/>
          <w14:textFill>
            <w14:solidFill>
              <w14:schemeClr w14:val="tx1"/>
            </w14:solidFill>
          </w14:textFill>
        </w:rPr>
        <w:t>深化“互联网+医养结合”，</w:t>
      </w:r>
      <w:r>
        <w:rPr>
          <w:rFonts w:hint="default" w:ascii="Times New Roman" w:hAnsi="Times New Roman" w:eastAsia="仿宋_GB2312" w:cs="Times New Roman"/>
          <w:color w:val="000000" w:themeColor="text1"/>
          <w:sz w:val="32"/>
          <w:szCs w:val="32"/>
          <w:lang w:bidi="ar"/>
          <w14:textFill>
            <w14:solidFill>
              <w14:schemeClr w14:val="tx1"/>
            </w14:solidFill>
          </w14:textFill>
        </w:rPr>
        <w:t>完善养老服务信息平台，</w:t>
      </w:r>
      <w:r>
        <w:rPr>
          <w:rFonts w:hint="default" w:ascii="Times New Roman" w:hAnsi="Times New Roman" w:eastAsia="仿宋_GB2312" w:cs="Times New Roman"/>
          <w:color w:val="000000" w:themeColor="text1"/>
          <w:sz w:val="32"/>
          <w:szCs w:val="32"/>
          <w14:textFill>
            <w14:solidFill>
              <w14:schemeClr w14:val="tx1"/>
            </w14:solidFill>
          </w14:textFill>
        </w:rPr>
        <w:t>探索人工智能在老年人健康管理、健康监测、健康照护等方面应用。</w:t>
      </w:r>
      <w:r>
        <w:rPr>
          <w:rFonts w:hint="default" w:ascii="Times New Roman" w:hAnsi="Times New Roman" w:eastAsia="仿宋_GB2312" w:cs="Times New Roman"/>
          <w:color w:val="000000" w:themeColor="text1"/>
          <w:sz w:val="32"/>
          <w:szCs w:val="32"/>
          <w:lang w:bidi="ar"/>
          <w14:textFill>
            <w14:solidFill>
              <w14:schemeClr w14:val="tx1"/>
            </w14:solidFill>
          </w14:textFill>
        </w:rPr>
        <w:t>推进公共空间适老化改造，在社区日间照料中心、助餐点、悦龄食堂等场所配置简易智能终端，弥合数字鸿沟。推进互联网应用改造，保留涉及老年人的高频事项线下服务。开展“智慧广电+养老服务”，鼓励利用虚拟现实等技术，开展老年用品和服务展示体验。</w:t>
      </w:r>
    </w:p>
    <w:p w14:paraId="3A187A00">
      <w:pPr>
        <w:overflowPunct w:val="0"/>
        <w:topLinePunct/>
        <w:adjustRightInd w:val="0"/>
        <w:spacing w:after="0" w:line="600" w:lineRule="exact"/>
        <w:ind w:firstLine="640" w:firstLineChars="200"/>
        <w:jc w:val="both"/>
        <w:rPr>
          <w:rFonts w:hint="default" w:ascii="Times New Roman" w:hAnsi="Times New Roman" w:eastAsia="仿宋_GB2312" w:cs="Times New Roman"/>
          <w:color w:val="000000" w:themeColor="text1"/>
          <w:sz w:val="32"/>
          <w:szCs w:val="32"/>
          <w:lang w:bidi="ar"/>
          <w14:textFill>
            <w14:solidFill>
              <w14:schemeClr w14:val="tx1"/>
            </w14:solidFill>
          </w14:textFill>
        </w:rPr>
      </w:pPr>
      <w:r>
        <w:rPr>
          <w:rFonts w:hint="default" w:ascii="Times New Roman" w:hAnsi="Times New Roman" w:eastAsia="楷体" w:cs="Times New Roman"/>
          <w:color w:val="000000" w:themeColor="text1"/>
          <w:sz w:val="32"/>
          <w:szCs w:val="32"/>
          <w:lang w:bidi="ar"/>
          <w14:textFill>
            <w14:solidFill>
              <w14:schemeClr w14:val="tx1"/>
            </w14:solidFill>
          </w14:textFill>
        </w:rPr>
        <w:t>推进人工智能赋能</w:t>
      </w:r>
      <w:r>
        <w:rPr>
          <w:rFonts w:hint="default" w:ascii="Times New Roman" w:hAnsi="Times New Roman" w:eastAsia="楷体" w:cs="Times New Roman"/>
          <w:color w:val="000000" w:themeColor="text1"/>
          <w:sz w:val="32"/>
          <w:szCs w:val="32"/>
          <w14:textFill>
            <w14:solidFill>
              <w14:schemeClr w14:val="tx1"/>
            </w14:solidFill>
          </w14:textFill>
        </w:rPr>
        <w:t>社会保障。</w:t>
      </w:r>
      <w:r>
        <w:rPr>
          <w:rFonts w:hint="default" w:ascii="Times New Roman" w:hAnsi="Times New Roman" w:eastAsia="仿宋_GB2312" w:cs="Times New Roman"/>
          <w:color w:val="000000" w:themeColor="text1"/>
          <w:sz w:val="32"/>
          <w:szCs w:val="32"/>
          <w:lang w:bidi="ar"/>
          <w14:textFill>
            <w14:solidFill>
              <w14:schemeClr w14:val="tx1"/>
            </w14:solidFill>
          </w14:textFill>
        </w:rPr>
        <w:t>整合失业人员、高校毕业生等重点群体信息与企业用工需求数据，运用人工智能、大数据等先进技术，建立动态监测机制，实现岗位智能匹配、职业指导咨询、灵活就业对接。拓展数字领域就业机会，培育智能装备、电子信息等就业新空间，推动数字消费新热点转化为就业新渠道。加快创业信息资讯发布、政策服务经办、互动交流指导等服务功能数字化转型。</w:t>
      </w:r>
    </w:p>
    <w:p w14:paraId="5A7AFED8">
      <w:pPr>
        <w:widowControl/>
        <w:overflowPunct w:val="0"/>
        <w:spacing w:after="0" w:line="600" w:lineRule="exact"/>
        <w:jc w:val="center"/>
        <w:outlineLvl w:val="2"/>
        <w:rPr>
          <w:rFonts w:hint="default" w:ascii="Times New Roman" w:hAnsi="Times New Roman" w:eastAsia="楷体" w:cs="Times New Roman"/>
          <w:color w:val="000000" w:themeColor="text1"/>
          <w:sz w:val="32"/>
          <w:szCs w:val="32"/>
          <w14:textFill>
            <w14:solidFill>
              <w14:schemeClr w14:val="tx1"/>
            </w14:solidFill>
          </w14:textFill>
        </w:rPr>
      </w:pPr>
      <w:bookmarkStart w:id="601" w:name="_Toc20728"/>
      <w:bookmarkStart w:id="602" w:name="_Toc9880"/>
      <w:bookmarkStart w:id="603" w:name="_Toc7955"/>
      <w:r>
        <w:rPr>
          <w:rFonts w:hint="default" w:ascii="Times New Roman" w:hAnsi="Times New Roman" w:eastAsia="楷体" w:cs="Times New Roman"/>
          <w:color w:val="000000" w:themeColor="text1"/>
          <w:sz w:val="32"/>
          <w:szCs w:val="32"/>
          <w14:textFill>
            <w14:solidFill>
              <w14:schemeClr w14:val="tx1"/>
            </w14:solidFill>
          </w14:textFill>
        </w:rPr>
        <w:t>第三节 强化城市智能运营</w:t>
      </w:r>
      <w:bookmarkEnd w:id="601"/>
      <w:bookmarkEnd w:id="602"/>
      <w:bookmarkEnd w:id="603"/>
    </w:p>
    <w:p w14:paraId="7397D65B">
      <w:pPr>
        <w:spacing w:after="0" w:line="600" w:lineRule="exact"/>
        <w:ind w:firstLine="562"/>
        <w:jc w:val="both"/>
        <w:rPr>
          <w:rFonts w:hint="default" w:ascii="Times New Roman" w:hAnsi="Times New Roman" w:eastAsia="仿宋_GB2312" w:cs="Times New Roman"/>
          <w:color w:val="000000" w:themeColor="text1"/>
          <w:sz w:val="32"/>
          <w:szCs w:val="32"/>
          <w:lang w:bidi="ar"/>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构建数智融合一体化支撑底座。</w:t>
      </w:r>
      <w:r>
        <w:rPr>
          <w:rFonts w:hint="default" w:ascii="Times New Roman" w:hAnsi="Times New Roman" w:eastAsia="仿宋_GB2312" w:cs="Times New Roman"/>
          <w:color w:val="000000" w:themeColor="text1"/>
          <w:sz w:val="32"/>
          <w:szCs w:val="32"/>
          <w:lang w:bidi="ar"/>
          <w14:textFill>
            <w14:solidFill>
              <w14:schemeClr w14:val="tx1"/>
            </w14:solidFill>
          </w14:textFill>
        </w:rPr>
        <w:t>以公共智慧底座2.0为核心，筑牢智能中枢硬件与数据根基。整合政务、先进制造、民生服务及昆曲文化、水乡治理等特色数据，建立数据治理规范。升级“超算—智算”多元算力体系，深化大模型本地化部署，构建“中心云—边缘云”二级算力架构。扩容IPv6+物联专网，整合工业传感器、河道监测设备、智能充电桩等全域感知终端，推进高质量数据集建设，形成覆盖生产、治理、生态的一体化感知网络，为AI与数字孪生集成提供“数据+算力+感知”三重保障。</w:t>
      </w:r>
    </w:p>
    <w:p w14:paraId="6E7D2B51">
      <w:pPr>
        <w:overflowPunct w:val="0"/>
        <w:topLinePunct/>
        <w:adjustRightInd w:val="0"/>
        <w:spacing w:after="0" w:line="600" w:lineRule="exact"/>
        <w:ind w:firstLine="640" w:firstLineChars="200"/>
        <w:jc w:val="both"/>
        <w:rPr>
          <w:rFonts w:hint="default" w:ascii="Times New Roman" w:hAnsi="Times New Roman" w:eastAsia="仿宋_GB2312" w:cs="Times New Roman"/>
          <w:color w:val="000000" w:themeColor="text1"/>
          <w:sz w:val="32"/>
          <w:szCs w:val="32"/>
          <w:highlight w:val="yellow"/>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建设智慧社区智慧乡村。</w:t>
      </w:r>
      <w:r>
        <w:rPr>
          <w:rFonts w:hint="default" w:ascii="Times New Roman" w:hAnsi="Times New Roman" w:eastAsia="仿宋_GB2312" w:cs="Times New Roman"/>
          <w:color w:val="000000" w:themeColor="text1"/>
          <w:sz w:val="32"/>
          <w:szCs w:val="32"/>
          <w14:textFill>
            <w14:solidFill>
              <w14:schemeClr w14:val="tx1"/>
            </w14:solidFill>
          </w14:textFill>
        </w:rPr>
        <w:t>推进智慧社区建设，补齐5G烟感探测器、“新三件套”等设施，在实时监管、远程巡检、一梯通管、一键报修、智能管家等方面推出更多应用场景和解决方案，优化升级社区数字服务能力，引领物业服务流程再造、模式创新、管理变革。打造数字惠民服务生活圈，集成政务办理、生活服务、社区互动等核心服务。加快智慧农业技术深度普及，构建一体化智慧农业管理平台，支持智慧菜园、果园等场景优化提升，培育一批数字渔场、植物工厂等新兴场景，打造一批“人工智能+农业”样板区。</w:t>
      </w:r>
    </w:p>
    <w:p w14:paraId="3B0A213B">
      <w:pPr>
        <w:overflowPunct w:val="0"/>
        <w:topLinePunct/>
        <w:adjustRightInd w:val="0"/>
        <w:spacing w:after="0" w:line="600" w:lineRule="exact"/>
        <w:ind w:firstLine="640" w:firstLineChars="200"/>
        <w:jc w:val="both"/>
        <w:rPr>
          <w:rFonts w:hint="default" w:ascii="Times New Roman" w:hAnsi="Times New Roman" w:eastAsia="仿宋_GB2312" w:cs="Times New Roman"/>
          <w:color w:val="000000" w:themeColor="text1"/>
          <w:kern w:val="0"/>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提高安全治理智慧化水平。</w:t>
      </w:r>
      <w:r>
        <w:rPr>
          <w:rFonts w:hint="default" w:ascii="Times New Roman" w:hAnsi="Times New Roman" w:eastAsia="仿宋_GB2312" w:cs="Times New Roman"/>
          <w:color w:val="000000" w:themeColor="text1"/>
          <w:sz w:val="32"/>
          <w:szCs w:val="32"/>
          <w14:textFill>
            <w14:solidFill>
              <w14:schemeClr w14:val="tx1"/>
            </w14:solidFill>
          </w14:textFill>
        </w:rPr>
        <w:t>构建全域智能安全防控体系，建立“AI预警</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处置反馈”闭环机制，实现城市运行“一图览、一网管”。建立空天地一体化智能巡查体系，形成全链条闭环管理机制。升级新一代智能前端感知网络，实现电梯、消防、防灾减灾等领域全覆盖，深化公安新质战斗力科创中心建设，打造数智派出所、交警队、警务室。夯实城市数字底座安全屏障，建立全域感知、动态预警、快速响应的城市网络安全管理机制，构建全过程数据安全防护体系。建设餐饮监管智慧平台，提升食品安全监管效能。</w:t>
      </w:r>
      <w:r>
        <w:rPr>
          <w:rFonts w:hint="default" w:ascii="Times New Roman" w:hAnsi="Times New Roman" w:eastAsia="仿宋_GB2312" w:cs="Times New Roman"/>
          <w:color w:val="000000" w:themeColor="text1"/>
          <w:kern w:val="0"/>
          <w:sz w:val="32"/>
          <w:szCs w:val="32"/>
          <w14:textFill>
            <w14:solidFill>
              <w14:schemeClr w14:val="tx1"/>
            </w14:solidFill>
          </w14:textFill>
        </w:rPr>
        <w:t>推进生态环境系统数字化改革，完善生态监测体系。</w:t>
      </w:r>
    </w:p>
    <w:p w14:paraId="225A31E6">
      <w:pPr>
        <w:spacing w:after="0" w:line="600" w:lineRule="exact"/>
        <w:ind w:firstLine="562"/>
        <w:jc w:val="both"/>
        <w:rPr>
          <w:rFonts w:hint="default" w:ascii="Times New Roman" w:hAnsi="Times New Roman" w:eastAsia="仿宋_GB2312" w:cs="Times New Roman"/>
          <w:color w:val="000000" w:themeColor="text1"/>
          <w:kern w:val="0"/>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健全新型基础测绘体系。</w:t>
      </w:r>
      <w:r>
        <w:rPr>
          <w:rFonts w:hint="default" w:ascii="Times New Roman" w:hAnsi="Times New Roman" w:eastAsia="仿宋_GB2312" w:cs="Times New Roman"/>
          <w:color w:val="000000" w:themeColor="text1"/>
          <w:sz w:val="32"/>
          <w:szCs w:val="32"/>
          <w:lang w:bidi="ar"/>
          <w14:textFill>
            <w14:solidFill>
              <w14:schemeClr w14:val="tx1"/>
            </w14:solidFill>
          </w14:textFill>
        </w:rPr>
        <w:t>优化升级测绘基准基础设施，增加大地控制网复测频次，保障江苏CORS昆山站点稳定运行，为全市有序推广使用2000国家大地坐标提供重要基础。丰富时空数据要素资源，构建基础测绘要素协同采集机制，加快构建时空新型基础设施，提升时空数据动态监测能力。加强自然资源管理和国土空间规划“一张图”和天地图·昆山建设，提升地理信息公共服务能力</w:t>
      </w:r>
      <w:r>
        <w:rPr>
          <w:rFonts w:hint="default" w:ascii="Times New Roman" w:hAnsi="Times New Roman" w:eastAsia="仿宋_GB2312" w:cs="Times New Roman"/>
          <w:color w:val="000000" w:themeColor="text1"/>
          <w:sz w:val="32"/>
          <w:szCs w:val="32"/>
          <w:lang w:eastAsia="zh-CN" w:bidi="ar"/>
          <w14:textFill>
            <w14:solidFill>
              <w14:schemeClr w14:val="tx1"/>
            </w14:solidFill>
          </w14:textFill>
        </w:rPr>
        <w:t>，</w:t>
      </w:r>
      <w:r>
        <w:rPr>
          <w:rFonts w:hint="default" w:ascii="Times New Roman" w:hAnsi="Times New Roman" w:eastAsia="仿宋_GB2312" w:cs="Times New Roman"/>
          <w:color w:val="000000" w:themeColor="text1"/>
          <w:sz w:val="32"/>
          <w:szCs w:val="32"/>
          <w:lang w:bidi="ar"/>
          <w14:textFill>
            <w14:solidFill>
              <w14:schemeClr w14:val="tx1"/>
            </w14:solidFill>
          </w14:textFill>
        </w:rPr>
        <w:t>加强测绘地理信息行业管理和地图市场监管，构建地理信息新安全发展格局。</w:t>
      </w:r>
    </w:p>
    <w:p w14:paraId="74C1467B">
      <w:pPr>
        <w:overflowPunct w:val="0"/>
        <w:topLinePunct/>
        <w:adjustRightInd w:val="0"/>
        <w:spacing w:before="156" w:beforeLines="50" w:after="156" w:afterLines="50" w:line="600" w:lineRule="exact"/>
        <w:jc w:val="center"/>
        <w:outlineLvl w:val="1"/>
        <w:rPr>
          <w:rFonts w:hint="default" w:ascii="Times New Roman" w:hAnsi="Times New Roman" w:eastAsia="黑体" w:cs="Times New Roman"/>
          <w:sz w:val="32"/>
          <w:szCs w:val="32"/>
        </w:rPr>
      </w:pPr>
      <w:bookmarkStart w:id="604" w:name="_Toc7984"/>
      <w:bookmarkStart w:id="605" w:name="_Toc8912"/>
      <w:bookmarkStart w:id="606" w:name="_Toc3900"/>
      <w:r>
        <w:rPr>
          <w:rFonts w:hint="default" w:ascii="Times New Roman" w:hAnsi="Times New Roman" w:eastAsia="黑体" w:cs="Times New Roman"/>
          <w:sz w:val="32"/>
          <w:szCs w:val="32"/>
        </w:rPr>
        <w:t>第十二章 构建绿色低碳美丽城市</w:t>
      </w:r>
      <w:bookmarkEnd w:id="604"/>
      <w:bookmarkEnd w:id="605"/>
      <w:bookmarkEnd w:id="606"/>
    </w:p>
    <w:p w14:paraId="1794B2B5">
      <w:pPr>
        <w:overflowPunct w:val="0"/>
        <w:topLinePunct/>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牢固树立和践行绿水青山就是金山银山的理念，以碳达峰碳中和为牵引，协同推进降碳、减污、扩绿、增长，筑牢生态安全屏障，增强绿色发展动能，基本建成美丽昆山，以高品质生态环境支撑高质量发展。</w:t>
      </w:r>
    </w:p>
    <w:p w14:paraId="189013DD">
      <w:pPr>
        <w:overflowPunct w:val="0"/>
        <w:topLinePunct/>
        <w:adjustRightInd w:val="0"/>
        <w:spacing w:after="0" w:line="600" w:lineRule="exact"/>
        <w:jc w:val="center"/>
        <w:outlineLvl w:val="2"/>
        <w:rPr>
          <w:rFonts w:hint="default" w:ascii="Times New Roman" w:hAnsi="Times New Roman" w:eastAsia="楷体" w:cs="Times New Roman"/>
          <w:sz w:val="32"/>
          <w:szCs w:val="32"/>
        </w:rPr>
      </w:pPr>
      <w:bookmarkStart w:id="607" w:name="_Toc26015"/>
      <w:bookmarkStart w:id="608" w:name="_Toc28010"/>
      <w:bookmarkStart w:id="609" w:name="_Toc6000"/>
      <w:r>
        <w:rPr>
          <w:rFonts w:hint="default" w:ascii="Times New Roman" w:hAnsi="Times New Roman" w:eastAsia="楷体" w:cs="Times New Roman"/>
          <w:sz w:val="32"/>
          <w:szCs w:val="32"/>
        </w:rPr>
        <w:t>第一节 巩固提升生态环境质量</w:t>
      </w:r>
      <w:bookmarkEnd w:id="607"/>
      <w:bookmarkEnd w:id="608"/>
      <w:bookmarkEnd w:id="609"/>
    </w:p>
    <w:p w14:paraId="7E585FAC">
      <w:pPr>
        <w:overflowPunct w:val="0"/>
        <w:topLinePunct/>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优化空间开发保护格局。</w:t>
      </w:r>
      <w:r>
        <w:rPr>
          <w:rFonts w:hint="default" w:ascii="Times New Roman" w:hAnsi="Times New Roman" w:eastAsia="仿宋_GB2312" w:cs="Times New Roman"/>
          <w:sz w:val="32"/>
          <w:szCs w:val="32"/>
          <w:lang w:bidi="ar"/>
        </w:rPr>
        <w:t>完善国土空间规划体系，落实优化三条控制线，有序开展国土空间总体规划、永久基本农田、城镇开发边界等动态优化，分区分类实施差别化、精细化用途管制。</w:t>
      </w:r>
      <w:r>
        <w:rPr>
          <w:rFonts w:hint="default" w:ascii="Times New Roman" w:hAnsi="Times New Roman" w:eastAsia="仿宋_GB2312" w:cs="Times New Roman"/>
          <w:sz w:val="32"/>
          <w:szCs w:val="32"/>
        </w:rPr>
        <w:t>科学合理编制土地征收成片开发方案，统筹资源保护与利用，严格用途管制，推进集中集约、集聚高效、有序发展。坚守耕地红线，严格占补平衡管理，统筹农用地布局优化，严格落实永久基本农田管控要求。严守生态保护红线，保护江南水乡生态本底，构筑区域生态安全坚实屏障。严控城镇开发边界，对城镇开发边界外的建设，实行“详细规划（村庄规划）＋规划许可”和“约束指标+分区准入”管制方式。强化“三线一单”生态环境分区管控成果应用，加强同国土空间规划衔接，统筹协调区域发展和生态环境保护，合理规划开发建设活动。</w:t>
      </w:r>
    </w:p>
    <w:p w14:paraId="6ECC7250">
      <w:pPr>
        <w:overflowPunct w:val="0"/>
        <w:topLinePunct/>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深入打好蓝天、碧水、净土保卫战。</w:t>
      </w:r>
      <w:r>
        <w:rPr>
          <w:rFonts w:hint="default" w:ascii="Times New Roman" w:hAnsi="Times New Roman" w:eastAsia="仿宋_GB2312" w:cs="Times New Roman"/>
          <w:sz w:val="32"/>
          <w:szCs w:val="32"/>
        </w:rPr>
        <w:t>持续改善大气环境质量，以降低PM</w:t>
      </w:r>
      <w:r>
        <w:rPr>
          <w:rFonts w:hint="default" w:ascii="Times New Roman" w:hAnsi="Times New Roman" w:eastAsia="仿宋_GB2312" w:cs="Times New Roman"/>
          <w:sz w:val="32"/>
          <w:szCs w:val="32"/>
          <w:vertAlign w:val="subscript"/>
        </w:rPr>
        <w:t>2.5</w:t>
      </w:r>
      <w:r>
        <w:rPr>
          <w:rFonts w:hint="default" w:ascii="Times New Roman" w:hAnsi="Times New Roman" w:eastAsia="仿宋_GB2312" w:cs="Times New Roman"/>
          <w:sz w:val="32"/>
          <w:szCs w:val="32"/>
        </w:rPr>
        <w:t>浓度为主线，推进PM</w:t>
      </w:r>
      <w:r>
        <w:rPr>
          <w:rFonts w:hint="default" w:ascii="Times New Roman" w:hAnsi="Times New Roman" w:eastAsia="仿宋_GB2312" w:cs="Times New Roman"/>
          <w:sz w:val="32"/>
          <w:szCs w:val="32"/>
          <w:vertAlign w:val="subscript"/>
        </w:rPr>
        <w:t>2.5</w:t>
      </w:r>
      <w:r>
        <w:rPr>
          <w:rFonts w:hint="default" w:ascii="Times New Roman" w:hAnsi="Times New Roman" w:eastAsia="仿宋_GB2312" w:cs="Times New Roman"/>
          <w:sz w:val="32"/>
          <w:szCs w:val="32"/>
        </w:rPr>
        <w:t>和臭氧“双控双减”。加强多污染物协同治理，大力削减挥发性有机物，推动产业绿色化转型。统筹水资源、水环境、水生态治理，深入实施“一湖一策”“一河一策”，编制溯源排查和系统治理方案，稳步提升地表水优良水体比例。强化遗留地块土壤污染风险管控，严格管控建设用地污染风险，有序推进污染地块治理修复和准入管理，确保全市细颗粒物平均浓度、</w:t>
      </w:r>
      <w:r>
        <w:rPr>
          <w:rFonts w:hint="default" w:ascii="Times New Roman" w:hAnsi="Times New Roman" w:eastAsia="仿宋_GB2312" w:cs="Times New Roman"/>
          <w:kern w:val="0"/>
          <w:sz w:val="32"/>
          <w:szCs w:val="32"/>
        </w:rPr>
        <w:t>地表水优良比例完成上级下达任务</w:t>
      </w:r>
      <w:r>
        <w:rPr>
          <w:rFonts w:hint="default" w:ascii="Times New Roman" w:hAnsi="Times New Roman" w:eastAsia="仿宋_GB2312" w:cs="Times New Roman"/>
          <w:sz w:val="32"/>
          <w:szCs w:val="32"/>
        </w:rPr>
        <w:t>。</w:t>
      </w:r>
    </w:p>
    <w:p w14:paraId="49668371">
      <w:pPr>
        <w:overflowPunct w:val="0"/>
        <w:topLinePunct/>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推进生态环境保护和修复工程。</w:t>
      </w:r>
      <w:r>
        <w:rPr>
          <w:rFonts w:hint="default" w:ascii="Times New Roman" w:hAnsi="Times New Roman" w:eastAsia="仿宋_GB2312" w:cs="Times New Roman"/>
          <w:sz w:val="32"/>
          <w:szCs w:val="32"/>
        </w:rPr>
        <w:t>构建“两心两轴、多廊多点”生态保护格局，以阳澄湖群、澄淀湖群、天福国家湿地公园和吴淞江等为重点，开展生态系统保护和修复。围绕水生态、湿地保护、绿地景观建设等，实施国土空间生态保护修复工程。完善湿地公园、湿地保护小区建设，提高湿地保护质量。加强自然保护地、生态保护红线、生态空间管控区域监督管理，开展“绿盾”自然保护地强化监督行动，严肃查处生态破坏行为。</w:t>
      </w:r>
      <w:r>
        <w:rPr>
          <w:rFonts w:hint="default" w:ascii="Times New Roman" w:hAnsi="Times New Roman" w:eastAsia="仿宋_GB2312" w:cs="Times New Roman"/>
          <w:kern w:val="0"/>
          <w:sz w:val="32"/>
          <w:szCs w:val="32"/>
        </w:rPr>
        <w:t>落实生物多样性保护战略与行动计划，开展生物多样性保护工程建设。</w:t>
      </w:r>
    </w:p>
    <w:p w14:paraId="551FA26D">
      <w:pPr>
        <w:overflowPunct w:val="0"/>
        <w:topLinePunct/>
        <w:adjustRightInd w:val="0"/>
        <w:spacing w:after="0" w:line="600" w:lineRule="exact"/>
        <w:jc w:val="center"/>
        <w:outlineLvl w:val="2"/>
        <w:rPr>
          <w:rFonts w:hint="default" w:ascii="Times New Roman" w:hAnsi="Times New Roman" w:eastAsia="楷体" w:cs="Times New Roman"/>
          <w:sz w:val="32"/>
          <w:szCs w:val="32"/>
        </w:rPr>
      </w:pPr>
      <w:bookmarkStart w:id="610" w:name="_Toc24699"/>
      <w:bookmarkStart w:id="611" w:name="_Toc16256"/>
      <w:bookmarkStart w:id="612" w:name="_Toc24644"/>
      <w:r>
        <w:rPr>
          <w:rFonts w:hint="default" w:ascii="Times New Roman" w:hAnsi="Times New Roman" w:eastAsia="楷体" w:cs="Times New Roman"/>
          <w:sz w:val="32"/>
          <w:szCs w:val="32"/>
        </w:rPr>
        <w:t>第二节 提高绿色低碳发展质效</w:t>
      </w:r>
      <w:bookmarkEnd w:id="610"/>
      <w:bookmarkEnd w:id="611"/>
      <w:bookmarkEnd w:id="612"/>
    </w:p>
    <w:p w14:paraId="7D4C4E3D">
      <w:pPr>
        <w:overflowPunct w:val="0"/>
        <w:topLinePunct/>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稳步推进碳达峰碳中和。</w:t>
      </w:r>
      <w:r>
        <w:rPr>
          <w:rFonts w:hint="default" w:ascii="Times New Roman" w:hAnsi="Times New Roman" w:eastAsia="仿宋_GB2312" w:cs="Times New Roman"/>
          <w:kern w:val="0"/>
          <w:sz w:val="32"/>
          <w:szCs w:val="32"/>
        </w:rPr>
        <w:t>落实碳达峰碳中和政策，推动能耗双控向碳排放双控全面转型。大力发展非化石能源，推动分布式光伏等可再生能源规模化部署，引导清洁能源在公交、环卫、重卡、物流等领域应用。加快构建新型电力系统，提升域外清洁来电占比，推进智能电网、绿电直供、虚拟电厂、车网互动等项目建设。优化电力、天然气、热力等通道布局，控制非电行业煤炭消费，提高化石能源清洁利用效率。深化长三角（昆山）国际低碳产业创新园区、昆山高新区省级碳达峰碳中和试点园区建设，创建一批（近）零碳园区、（近）零碳工厂。建立碳排放核算体系，完善碳足迹管理、碳标识认证制度，构建接轨国际的ESG产业生态。</w:t>
      </w:r>
    </w:p>
    <w:p w14:paraId="02B30E8B">
      <w:pPr>
        <w:overflowPunct w:val="0"/>
        <w:topLinePunct/>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拓展城市绿色空间体系。</w:t>
      </w:r>
      <w:r>
        <w:rPr>
          <w:rFonts w:hint="default" w:ascii="Times New Roman" w:hAnsi="Times New Roman" w:eastAsia="仿宋_GB2312" w:cs="Times New Roman"/>
          <w:sz w:val="32"/>
          <w:szCs w:val="32"/>
        </w:rPr>
        <w:t>以打造公园城市为愿景，塑造“花漾昆山”城市品牌。完善综合公园、社区公园、口袋公园三级公园体系，推动公园绿地内文体游乐设施建设。实施“昆山之链”贯通工程，优化沿线服务驿站与乡村景观布局，构建“生态+文旅+消费”融合模式，打造长三角生态文旅融合新标杆。系统构建蓝绿交织的生态慢行网络，打造“水清岸绿”滨水景观，依托吴淞江等骨干水系及傀儡湖等湖荡资源构建“15分钟亲水圈”，塑造“城水相依、快慢相宜”的现代江南水乡人居新典范。到2030年，建成区绿地率达41.7%，城区人均公园绿地面积达15平方米/人。</w:t>
      </w:r>
    </w:p>
    <w:p w14:paraId="240929A6">
      <w:pPr>
        <w:overflowPunct w:val="0"/>
        <w:topLinePunct/>
        <w:adjustRightInd w:val="0"/>
        <w:spacing w:after="0" w:line="600" w:lineRule="exact"/>
        <w:ind w:firstLine="640" w:firstLineChars="200"/>
        <w:jc w:val="both"/>
        <w:rPr>
          <w:rFonts w:hint="default" w:ascii="Times New Roman" w:hAnsi="Times New Roman" w:eastAsia="楷体" w:cs="Times New Roman"/>
          <w:sz w:val="32"/>
          <w:szCs w:val="32"/>
        </w:rPr>
      </w:pPr>
      <w:r>
        <w:rPr>
          <w:rFonts w:hint="default" w:ascii="Times New Roman" w:hAnsi="Times New Roman" w:eastAsia="楷体" w:cs="Times New Roman"/>
          <w:sz w:val="32"/>
          <w:szCs w:val="32"/>
        </w:rPr>
        <w:t>加强资源集约节约利用。</w:t>
      </w:r>
      <w:r>
        <w:rPr>
          <w:rFonts w:hint="default" w:ascii="Times New Roman" w:hAnsi="Times New Roman" w:eastAsia="仿宋_GB2312" w:cs="Times New Roman"/>
          <w:sz w:val="32"/>
          <w:szCs w:val="32"/>
        </w:rPr>
        <w:t>大力推进节能、节水、节地，市场化推动资源配置效益最大化和效率最优化。强化源头管控，坚决遏制“两高”项目盲目发展，严把项目准入关口，严格固定资产投资项目节能评估和审查。实施最严格水资源管理制度，推进节水型社会建设，推动污水资源化利用。推进“无废城市”建设，加强固体废物和新污染物治理，</w:t>
      </w:r>
      <w:r>
        <w:rPr>
          <w:rFonts w:hint="default" w:ascii="Times New Roman" w:hAnsi="Times New Roman" w:eastAsia="仿宋_GB2312" w:cs="Times New Roman"/>
          <w:kern w:val="0"/>
          <w:sz w:val="32"/>
          <w:szCs w:val="32"/>
        </w:rPr>
        <w:t>强化建筑垃圾（工程渣土）全生命周期管理，</w:t>
      </w:r>
      <w:r>
        <w:rPr>
          <w:rFonts w:hint="default" w:ascii="Times New Roman" w:hAnsi="Times New Roman" w:eastAsia="仿宋_GB2312" w:cs="Times New Roman"/>
          <w:sz w:val="32"/>
          <w:szCs w:val="32"/>
        </w:rPr>
        <w:t>提升大宗固体废物综合利用率。积极探索发展水经济。</w:t>
      </w:r>
    </w:p>
    <w:p w14:paraId="4685B771">
      <w:pPr>
        <w:overflowPunct w:val="0"/>
        <w:topLinePunct/>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推行低碳循环生产生活。</w:t>
      </w:r>
      <w:r>
        <w:rPr>
          <w:rFonts w:hint="default" w:ascii="Times New Roman" w:hAnsi="Times New Roman" w:eastAsia="仿宋_GB2312" w:cs="Times New Roman"/>
          <w:sz w:val="32"/>
          <w:szCs w:val="32"/>
        </w:rPr>
        <w:t>深入实施传统产业焕新工程，加快传统产业强制性清洁生产审核，推广节能低碳和清洁生产技术装备，推进工艺流程更新升级。加快产业园区能源梯级利用，推动废水、余热、固废协同处置全覆盖。培育绿色低碳生活方式，系统推进吃、穿、住、行、用、游等领域绿色转型。推广能源费用托管模式，深入开展绿色机关、绿色家庭、绿色学校、绿色社区等创建行动。稳步推进碳普惠应用，探索建立个人碳账户与碳积分激励机制。完善绿色消费政策体系，支持新能源汽车、绿色智能家电、环保家具等下乡。加大政府绿色采购力度，扩大绿色产品采购范围。</w:t>
      </w:r>
    </w:p>
    <w:p w14:paraId="14E03EB9">
      <w:pPr>
        <w:overflowPunct w:val="0"/>
        <w:topLinePunct/>
        <w:adjustRightInd w:val="0"/>
        <w:spacing w:after="0" w:line="600" w:lineRule="exact"/>
        <w:jc w:val="center"/>
        <w:outlineLvl w:val="2"/>
        <w:rPr>
          <w:rFonts w:hint="default" w:ascii="Times New Roman" w:hAnsi="Times New Roman" w:eastAsia="楷体" w:cs="Times New Roman"/>
          <w:sz w:val="32"/>
          <w:szCs w:val="32"/>
        </w:rPr>
      </w:pPr>
      <w:bookmarkStart w:id="613" w:name="_Toc10495"/>
      <w:bookmarkStart w:id="614" w:name="_Toc7804"/>
      <w:bookmarkStart w:id="615" w:name="_Toc23879"/>
      <w:r>
        <w:rPr>
          <w:rFonts w:hint="default" w:ascii="Times New Roman" w:hAnsi="Times New Roman" w:eastAsia="楷体" w:cs="Times New Roman"/>
          <w:sz w:val="32"/>
          <w:szCs w:val="32"/>
        </w:rPr>
        <w:t>第三节 完善生态治理长效机制</w:t>
      </w:r>
      <w:bookmarkEnd w:id="613"/>
      <w:bookmarkEnd w:id="614"/>
      <w:bookmarkEnd w:id="615"/>
    </w:p>
    <w:p w14:paraId="1F75B067">
      <w:pPr>
        <w:overflowPunct w:val="0"/>
        <w:topLinePunct/>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强化生态环境监管。</w:t>
      </w:r>
      <w:r>
        <w:rPr>
          <w:rFonts w:hint="default" w:ascii="Times New Roman" w:hAnsi="Times New Roman" w:eastAsia="仿宋_GB2312" w:cs="Times New Roman"/>
          <w:sz w:val="32"/>
          <w:szCs w:val="32"/>
        </w:rPr>
        <w:t>深化生态文明体制改革，强化河湖长制、林长制，落实地方党政领导干部生态保护责任制，开展领导干部自然资源资产离任审计。深入推进非现场执法监管，推广空地协同监测、无人机巡检、物联网感应等技术应用。深化环境信息依法披露制度改革，健全环境信用监管体系。构建跨区域生态环境联保共治机制，推动环境违法线索互通、调查取证互助。健全行政执法与司法联动机制，完善公益诉讼制度，构建生态环境纠纷多元共治体系，统筹推进生态环境损害赔偿。健全生态环境风险防范体系，强化重大环境风险源动态监测预警，深化跨部门、跨区域环境应急联动，提升环境执法精准化水平。</w:t>
      </w:r>
    </w:p>
    <w:p w14:paraId="60347BDB">
      <w:pPr>
        <w:overflowPunct w:val="0"/>
        <w:topLinePunct/>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推动生态产品价值实现。</w:t>
      </w:r>
      <w:r>
        <w:rPr>
          <w:rFonts w:hint="default" w:ascii="Times New Roman" w:hAnsi="Times New Roman" w:eastAsia="仿宋_GB2312" w:cs="Times New Roman"/>
          <w:sz w:val="32"/>
          <w:szCs w:val="32"/>
        </w:rPr>
        <w:t>健全生态产品调查监测机制，建立全市统一的自然资源登记信息数据库与生态产品信息云平台，全面推行自然资源确权登记。加快构建生态产品价值评价体系，常态化开展生态产品价值核算。规范资源环境要素市场配置，健全资源环境要素配额分配机制，积极参与碳市场建设，健全节能市场化机制，丰富用水权交易种类，持续深化排污权交易。建立市场化、多元化生态保护补偿机制。强化绿色金融支持，推广“EOD”模式，用好“环保贷”“昆绿贷”“昆水惠”等工具，引导金融机构和社会资本加大生态投入。</w:t>
      </w:r>
    </w:p>
    <w:p w14:paraId="5F66CE76">
      <w:pPr>
        <w:overflowPunct w:val="0"/>
        <w:topLinePunct/>
        <w:adjustRightInd w:val="0"/>
        <w:spacing w:before="156" w:beforeLines="50" w:after="156" w:afterLines="50" w:line="600" w:lineRule="exact"/>
        <w:jc w:val="center"/>
        <w:outlineLvl w:val="1"/>
        <w:rPr>
          <w:rFonts w:hint="default" w:ascii="Times New Roman" w:hAnsi="Times New Roman" w:eastAsia="黑体" w:cs="Times New Roman"/>
          <w:sz w:val="32"/>
          <w:szCs w:val="32"/>
        </w:rPr>
      </w:pPr>
      <w:bookmarkStart w:id="616" w:name="_Toc14602"/>
      <w:bookmarkStart w:id="617" w:name="_Toc8877"/>
      <w:bookmarkStart w:id="618" w:name="_Toc19217"/>
      <w:r>
        <w:rPr>
          <w:rFonts w:hint="default" w:ascii="Times New Roman" w:hAnsi="Times New Roman" w:eastAsia="黑体" w:cs="Times New Roman"/>
          <w:sz w:val="32"/>
          <w:szCs w:val="32"/>
        </w:rPr>
        <w:t>第十三章 建设大都会近郊区和美乡村</w:t>
      </w:r>
      <w:bookmarkEnd w:id="616"/>
      <w:bookmarkEnd w:id="617"/>
      <w:bookmarkEnd w:id="618"/>
    </w:p>
    <w:p w14:paraId="2BD7E989">
      <w:pPr>
        <w:overflowPunct w:val="0"/>
        <w:topLinePunct/>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坚持把解决好“三农”问题作为工作重中之重，学习运用“千万工程”经验，深入实施乡村振兴“五百行动”，加快农业农村现代化，促进城乡融合发展，努力勾画农业强、农村美、农民富的新时代鱼米之乡，打造乡村全面振兴“昆山样板”。</w:t>
      </w:r>
    </w:p>
    <w:p w14:paraId="5388BEC7">
      <w:pPr>
        <w:overflowPunct w:val="0"/>
        <w:topLinePunct/>
        <w:adjustRightInd w:val="0"/>
        <w:spacing w:after="0" w:line="600" w:lineRule="exact"/>
        <w:jc w:val="center"/>
        <w:outlineLvl w:val="2"/>
        <w:rPr>
          <w:rFonts w:hint="default" w:ascii="Times New Roman" w:hAnsi="Times New Roman" w:eastAsia="楷体" w:cs="Times New Roman"/>
          <w:sz w:val="32"/>
          <w:szCs w:val="32"/>
        </w:rPr>
      </w:pPr>
      <w:bookmarkStart w:id="619" w:name="_Toc4091"/>
      <w:bookmarkStart w:id="620" w:name="_Toc24956"/>
      <w:bookmarkStart w:id="621" w:name="_Toc15708"/>
      <w:r>
        <w:rPr>
          <w:rFonts w:hint="default" w:ascii="Times New Roman" w:hAnsi="Times New Roman" w:eastAsia="楷体" w:cs="Times New Roman"/>
          <w:sz w:val="32"/>
          <w:szCs w:val="32"/>
        </w:rPr>
        <w:t>第一节 创新赋能乡村特色产业</w:t>
      </w:r>
      <w:bookmarkEnd w:id="619"/>
      <w:bookmarkEnd w:id="620"/>
      <w:bookmarkEnd w:id="621"/>
    </w:p>
    <w:p w14:paraId="2E37B89E">
      <w:pPr>
        <w:widowControl/>
        <w:overflowPunct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构建科技农业发展新格局。</w:t>
      </w:r>
      <w:r>
        <w:rPr>
          <w:rFonts w:hint="default" w:ascii="Times New Roman" w:hAnsi="Times New Roman" w:eastAsia="仿宋_GB2312" w:cs="Times New Roman"/>
          <w:sz w:val="32"/>
          <w:szCs w:val="32"/>
        </w:rPr>
        <w:t>落实优土、优种、优产、优储、优销“五优联动”，逐步把永久基本农田建成高标准农田，夯实粮食稳产保供基础。强化农业科技装备支撑，拓展农科院华东中心功能，构建农业战略协同科技平台体系，加速农业科研成果孵化转化。深化与大院大所产学研协作，支持阳澄湖大闸蟹产业研究院、柏庐大米产业研究院在生物育种、新技术推广、品牌打造等方面开展研究。加强“鹿农通”农业大数据平台建设，推动无人机、智能农机装备等在农业生产中应用。</w:t>
      </w:r>
      <w:r>
        <w:rPr>
          <w:rFonts w:hint="default" w:ascii="Times New Roman" w:hAnsi="Times New Roman" w:eastAsia="仿宋_GB2312" w:cs="Times New Roman"/>
          <w:sz w:val="32"/>
          <w:szCs w:val="32"/>
          <w:lang w:bidi="ar"/>
        </w:rPr>
        <w:t>推动农业气象灾害风险减量，提升预警服务能力。</w:t>
      </w:r>
    </w:p>
    <w:p w14:paraId="49966EBE">
      <w:pPr>
        <w:overflowPunct w:val="0"/>
        <w:spacing w:after="0" w:line="600" w:lineRule="exact"/>
        <w:ind w:firstLine="640" w:firstLineChars="200"/>
        <w:jc w:val="both"/>
        <w:rPr>
          <w:rFonts w:hint="default" w:ascii="Times New Roman" w:hAnsi="Times New Roman" w:eastAsia="仿宋_GB2312" w:cs="Times New Roman"/>
          <w:color w:val="000000"/>
          <w:sz w:val="32"/>
          <w:szCs w:val="32"/>
        </w:rPr>
      </w:pPr>
      <w:r>
        <w:rPr>
          <w:rFonts w:hint="default" w:ascii="Times New Roman" w:hAnsi="Times New Roman" w:eastAsia="楷体" w:cs="Times New Roman"/>
          <w:sz w:val="32"/>
          <w:szCs w:val="32"/>
        </w:rPr>
        <w:t>探索全产业链升级新路径。</w:t>
      </w:r>
      <w:r>
        <w:rPr>
          <w:rFonts w:hint="default" w:ascii="Times New Roman" w:hAnsi="Times New Roman" w:eastAsia="仿宋_GB2312" w:cs="Times New Roman"/>
          <w:color w:val="000000"/>
          <w:sz w:val="32"/>
          <w:szCs w:val="32"/>
        </w:rPr>
        <w:t>聚焦市场化道路，深度挖掘并整合我市特色农产品资源，全面提升地产优质农产品竞争力。深化阳澄湖大闸蟹全产业链建设，打造阳澄湖大闸蟹</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昆味到</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线上线下旗舰店，进一步打响正宗阳澄湖大闸蟹品牌，引育大闸蟹深加工产品企业，研发精深加工产品，推动富民增收。聚焦预制菜、中央厨房、高端生物制品等农业产业，探索建立农业全产业链综合服务平台，通过资源整合、科技赋能和金融支持，构建从种植到销售一体化服务体系，进一步提升农业现代化产业化水平。</w:t>
      </w:r>
    </w:p>
    <w:p w14:paraId="4661FED8">
      <w:pPr>
        <w:widowControl/>
        <w:overflowPunct w:val="0"/>
        <w:topLinePunct/>
        <w:adjustRightInd w:val="0"/>
        <w:spacing w:after="0" w:line="600" w:lineRule="exact"/>
        <w:ind w:firstLine="640" w:firstLineChars="200"/>
        <w:jc w:val="both"/>
        <w:rPr>
          <w:rFonts w:hint="default" w:ascii="Times New Roman" w:hAnsi="Times New Roman" w:eastAsia="楷体" w:cs="Times New Roman"/>
          <w:sz w:val="32"/>
          <w:szCs w:val="32"/>
        </w:rPr>
      </w:pPr>
      <w:r>
        <w:rPr>
          <w:rFonts w:hint="default" w:ascii="Times New Roman" w:hAnsi="Times New Roman" w:eastAsia="楷体" w:cs="Times New Roman"/>
          <w:sz w:val="32"/>
          <w:szCs w:val="32"/>
        </w:rPr>
        <w:t>汇聚乡村振兴新型人才。</w:t>
      </w:r>
      <w:r>
        <w:rPr>
          <w:rFonts w:hint="default" w:ascii="Times New Roman" w:hAnsi="Times New Roman" w:eastAsia="仿宋_GB2312" w:cs="Times New Roman"/>
          <w:sz w:val="32"/>
          <w:szCs w:val="32"/>
        </w:rPr>
        <w:t>深入推进国家级高素质农民培育学用贯通综合试点，以培育“昆农科、昆农创、昆农匠、昆农服、昆农干”五类人才为核心，构建“新农人”培育体系。聚焦乡村消费，发展电商、村咖、民宿等农文旅新业态，实施“农创客”行动，培育一批市场意识强、营销能力强的产业带头人。推广“乡村CEO”“头雁”等运营模式，鼓励乡村创业者带动周边其他农户共同发展。加大乡村振兴新型人才扶持力度，进一步优化社会保险补贴政策，加大对从事一线生产的“新农人”补贴力度。</w:t>
      </w:r>
    </w:p>
    <w:p w14:paraId="7687CBF8">
      <w:pPr>
        <w:overflowPunct w:val="0"/>
        <w:topLinePunct/>
        <w:adjustRightInd w:val="0"/>
        <w:spacing w:after="0" w:line="600" w:lineRule="exact"/>
        <w:jc w:val="center"/>
        <w:outlineLvl w:val="2"/>
        <w:rPr>
          <w:rFonts w:hint="default" w:ascii="Times New Roman" w:hAnsi="Times New Roman" w:eastAsia="楷体" w:cs="Times New Roman"/>
          <w:sz w:val="32"/>
          <w:szCs w:val="32"/>
        </w:rPr>
      </w:pPr>
      <w:bookmarkStart w:id="622" w:name="_Toc30497"/>
      <w:bookmarkStart w:id="623" w:name="_Toc16487"/>
      <w:bookmarkStart w:id="624" w:name="_Toc24163"/>
      <w:r>
        <w:rPr>
          <w:rFonts w:hint="default" w:ascii="Times New Roman" w:hAnsi="Times New Roman" w:eastAsia="楷体" w:cs="Times New Roman"/>
          <w:sz w:val="32"/>
          <w:szCs w:val="32"/>
        </w:rPr>
        <w:t>第二节 统筹推进城乡融合发展</w:t>
      </w:r>
      <w:bookmarkEnd w:id="622"/>
      <w:bookmarkEnd w:id="623"/>
      <w:bookmarkEnd w:id="624"/>
    </w:p>
    <w:p w14:paraId="7929C287">
      <w:pPr>
        <w:numPr>
          <w:ilvl w:val="255"/>
          <w:numId w:val="0"/>
        </w:numPr>
        <w:overflowPunct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建设现代新型小城镇。</w:t>
      </w:r>
      <w:r>
        <w:rPr>
          <w:rFonts w:hint="default" w:ascii="Times New Roman" w:hAnsi="Times New Roman" w:eastAsia="仿宋_GB2312" w:cs="Times New Roman"/>
          <w:sz w:val="32"/>
          <w:szCs w:val="32"/>
        </w:rPr>
        <w:t>支持以张浦镇、周市镇为代表的创新制造型城镇发展，建设专精特新联合体、创客人才社区，加速高新技术产业和创新人才集聚。支持以千灯镇、锦溪镇、周庄镇为代表的文化基因型城镇发展，对文化资源进行活化创新，挖掘昆曲、先贤、古窑、水乡商帮等历史文化内涵，深入开发文旅特色古镇。支持以淀山湖镇、巴城镇为代表的生态服务型城镇发展，聚焦构建价值转化机制，壮大阳澄湖大闸蟹、巴城葡萄等富民产业，加快推进老镇区更新和保护利用。支持以花桥镇、陆家镇为代表的枢纽跃迁型城镇发展，深化TOD模式，引导承接中心城区外溢的商贸、居住及专业服务功能，打造“15分钟城际活力圈”。</w:t>
      </w:r>
    </w:p>
    <w:p w14:paraId="6162AB0C">
      <w:pPr>
        <w:widowControl/>
        <w:spacing w:after="0" w:line="600" w:lineRule="exact"/>
        <w:ind w:firstLine="640" w:firstLineChars="200"/>
        <w:jc w:val="both"/>
        <w:rPr>
          <w:rFonts w:hint="default" w:ascii="Times New Roman" w:hAnsi="Times New Roman" w:eastAsia="仿宋_GB2312" w:cs="Times New Roman"/>
          <w:sz w:val="32"/>
          <w:szCs w:val="32"/>
          <w:highlight w:val="yellow"/>
        </w:rPr>
      </w:pPr>
      <w:r>
        <w:rPr>
          <w:rFonts w:hint="default" w:ascii="Times New Roman" w:hAnsi="Times New Roman" w:eastAsia="楷体" w:cs="Times New Roman"/>
          <w:sz w:val="32"/>
          <w:szCs w:val="32"/>
        </w:rPr>
        <w:t>持续推进乡村建设高质量发展。</w:t>
      </w:r>
      <w:r>
        <w:rPr>
          <w:rFonts w:hint="default" w:ascii="Times New Roman" w:hAnsi="Times New Roman" w:eastAsia="仿宋_GB2312" w:cs="Times New Roman"/>
          <w:color w:val="000000"/>
          <w:kern w:val="0"/>
          <w:sz w:val="32"/>
          <w:szCs w:val="32"/>
          <w:lang w:bidi="ar"/>
        </w:rPr>
        <w:t>组团式、片区化推进</w:t>
      </w:r>
      <w:r>
        <w:rPr>
          <w:rFonts w:hint="default" w:ascii="Times New Roman" w:hAnsi="Times New Roman" w:eastAsia="宋体" w:cs="Times New Roman"/>
          <w:color w:val="000000"/>
          <w:kern w:val="0"/>
          <w:sz w:val="32"/>
          <w:szCs w:val="32"/>
          <w:lang w:bidi="ar"/>
        </w:rPr>
        <w:t>3</w:t>
      </w:r>
      <w:r>
        <w:rPr>
          <w:rFonts w:hint="default" w:ascii="Times New Roman" w:hAnsi="Times New Roman" w:eastAsia="仿宋_GB2312" w:cs="Times New Roman"/>
          <w:color w:val="000000"/>
          <w:kern w:val="0"/>
          <w:sz w:val="32"/>
          <w:szCs w:val="32"/>
          <w:lang w:bidi="ar"/>
        </w:rPr>
        <w:t>个跨县域片区和</w:t>
      </w:r>
      <w:r>
        <w:rPr>
          <w:rFonts w:hint="default" w:ascii="Times New Roman" w:hAnsi="Times New Roman" w:eastAsia="宋体" w:cs="Times New Roman"/>
          <w:color w:val="000000"/>
          <w:kern w:val="0"/>
          <w:sz w:val="32"/>
          <w:szCs w:val="32"/>
          <w:lang w:bidi="ar"/>
        </w:rPr>
        <w:t>5</w:t>
      </w:r>
      <w:r>
        <w:rPr>
          <w:rFonts w:hint="default" w:ascii="Times New Roman" w:hAnsi="Times New Roman" w:eastAsia="仿宋_GB2312" w:cs="Times New Roman"/>
          <w:color w:val="000000"/>
          <w:kern w:val="0"/>
          <w:sz w:val="32"/>
          <w:szCs w:val="32"/>
          <w:lang w:bidi="ar"/>
        </w:rPr>
        <w:t>个跨镇域片区建设，促进规划建设、产业发展、富民增收、乡村治理和改革创新</w:t>
      </w:r>
      <w:r>
        <w:rPr>
          <w:rFonts w:hint="default" w:ascii="Times New Roman" w:hAnsi="Times New Roman" w:eastAsia="宋体" w:cs="Times New Roman"/>
          <w:color w:val="000000"/>
          <w:kern w:val="0"/>
          <w:sz w:val="32"/>
          <w:szCs w:val="32"/>
          <w:lang w:bidi="ar"/>
        </w:rPr>
        <w:t>“</w:t>
      </w:r>
      <w:r>
        <w:rPr>
          <w:rFonts w:hint="default" w:ascii="Times New Roman" w:hAnsi="Times New Roman" w:eastAsia="仿宋_GB2312" w:cs="Times New Roman"/>
          <w:color w:val="000000"/>
          <w:kern w:val="0"/>
          <w:sz w:val="32"/>
          <w:szCs w:val="32"/>
          <w:lang w:bidi="ar"/>
        </w:rPr>
        <w:t>五大协同</w:t>
      </w:r>
      <w:r>
        <w:rPr>
          <w:rFonts w:hint="default" w:ascii="Times New Roman" w:hAnsi="Times New Roman" w:eastAsia="宋体" w:cs="Times New Roman"/>
          <w:color w:val="000000"/>
          <w:kern w:val="0"/>
          <w:sz w:val="32"/>
          <w:szCs w:val="32"/>
          <w:lang w:bidi="ar"/>
        </w:rPr>
        <w:t>”</w:t>
      </w:r>
      <w:r>
        <w:rPr>
          <w:rFonts w:hint="default" w:ascii="Times New Roman" w:hAnsi="Times New Roman" w:eastAsia="仿宋_GB2312" w:cs="Times New Roman"/>
          <w:color w:val="000000"/>
          <w:kern w:val="0"/>
          <w:sz w:val="32"/>
          <w:szCs w:val="32"/>
          <w:lang w:bidi="ar"/>
        </w:rPr>
        <w:t>。</w:t>
      </w:r>
      <w:r>
        <w:rPr>
          <w:rFonts w:hint="default" w:ascii="Times New Roman" w:hAnsi="Times New Roman" w:eastAsia="仿宋_GB2312" w:cs="Times New Roman"/>
          <w:color w:val="000000"/>
          <w:sz w:val="32"/>
          <w:szCs w:val="32"/>
        </w:rPr>
        <w:t>推进“多规合一”实用性村庄规划编制，实现城镇开发边界外村庄规划管理全覆盖。</w:t>
      </w:r>
      <w:r>
        <w:rPr>
          <w:rFonts w:hint="default" w:ascii="Times New Roman" w:hAnsi="Times New Roman" w:eastAsia="仿宋_GB2312" w:cs="Times New Roman"/>
          <w:color w:val="000000"/>
          <w:sz w:val="32"/>
          <w:szCs w:val="32"/>
          <w:lang w:bidi="ar"/>
        </w:rPr>
        <w:t>开展农村人居环境整治提升行动，片区化、组团式推进宜居宜业和美乡村建设，</w:t>
      </w:r>
      <w:r>
        <w:rPr>
          <w:rFonts w:hint="default" w:ascii="Times New Roman" w:hAnsi="Times New Roman" w:eastAsia="仿宋_GB2312" w:cs="Times New Roman"/>
          <w:color w:val="000000"/>
          <w:sz w:val="32"/>
          <w:szCs w:val="32"/>
        </w:rPr>
        <w:t>实现基础设施互联互通、公共服务共建共享、乡村风貌协调统一</w:t>
      </w:r>
      <w:r>
        <w:rPr>
          <w:rFonts w:hint="default" w:ascii="Times New Roman" w:hAnsi="Times New Roman" w:eastAsia="仿宋_GB2312" w:cs="Times New Roman"/>
          <w:color w:val="000000"/>
          <w:sz w:val="32"/>
          <w:szCs w:val="32"/>
          <w:lang w:bidi="ar"/>
        </w:rPr>
        <w:t>。</w:t>
      </w:r>
      <w:r>
        <w:rPr>
          <w:rFonts w:hint="default" w:ascii="Times New Roman" w:hAnsi="Times New Roman" w:eastAsia="仿宋_GB2312" w:cs="Times New Roman"/>
          <w:color w:val="000000"/>
          <w:sz w:val="32"/>
          <w:szCs w:val="32"/>
        </w:rPr>
        <w:t>加快农村生活污水收集处理设施升级改造，完善生活垃圾收运处置体系，合理布点建设农村公厕。</w:t>
      </w:r>
      <w:r>
        <w:rPr>
          <w:rFonts w:hint="default" w:ascii="Times New Roman" w:hAnsi="Times New Roman" w:eastAsia="仿宋_GB2312" w:cs="Times New Roman"/>
          <w:sz w:val="32"/>
          <w:szCs w:val="32"/>
        </w:rPr>
        <w:t>优化区域路网结构，加强农村公路驿站建设，统筹</w:t>
      </w:r>
      <w:r>
        <w:rPr>
          <w:rFonts w:hint="default" w:ascii="Times New Roman" w:hAnsi="Times New Roman" w:eastAsia="仿宋_GB2312" w:cs="Times New Roman"/>
          <w:sz w:val="32"/>
          <w:szCs w:val="32"/>
          <w:lang w:val="en-US" w:eastAsia="zh-CN"/>
        </w:rPr>
        <w:t>推进</w:t>
      </w:r>
      <w:r>
        <w:rPr>
          <w:rFonts w:hint="default" w:ascii="Times New Roman" w:hAnsi="Times New Roman" w:eastAsia="仿宋_GB2312" w:cs="Times New Roman"/>
          <w:sz w:val="32"/>
          <w:szCs w:val="32"/>
        </w:rPr>
        <w:t>停车场、充电桩等交通基础设施</w:t>
      </w:r>
      <w:r>
        <w:rPr>
          <w:rFonts w:hint="default" w:ascii="Times New Roman" w:hAnsi="Times New Roman" w:eastAsia="仿宋_GB2312" w:cs="Times New Roman"/>
          <w:sz w:val="32"/>
          <w:szCs w:val="32"/>
          <w:lang w:val="en-US" w:eastAsia="zh-CN"/>
        </w:rPr>
        <w:t>提质</w:t>
      </w:r>
      <w:r>
        <w:rPr>
          <w:rFonts w:hint="default" w:ascii="Times New Roman" w:hAnsi="Times New Roman" w:eastAsia="仿宋_GB2312" w:cs="Times New Roman"/>
          <w:sz w:val="32"/>
          <w:szCs w:val="32"/>
        </w:rPr>
        <w:t>。完善农村供水设施网络和天然气管网布局建设，推广应用清洁能源。落实基础设施长效运维机制，推进城乡基础设施建设运营单位统一管护。</w:t>
      </w:r>
    </w:p>
    <w:p w14:paraId="36A82AA1">
      <w:pPr>
        <w:overflowPunct w:val="0"/>
        <w:topLinePunct/>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打造城乡公共服务共同体。</w:t>
      </w:r>
      <w:r>
        <w:rPr>
          <w:rFonts w:hint="default" w:ascii="Times New Roman" w:hAnsi="Times New Roman" w:eastAsia="仿宋_GB2312" w:cs="Times New Roman"/>
          <w:sz w:val="32"/>
          <w:szCs w:val="32"/>
        </w:rPr>
        <w:t>推动城乡公共服务一体化，强化公共服务供给市镇村统筹，增加乡村教育、医疗、养老、文体等服务供给。发展城乡教育共同体，鼓励优秀师资向乡镇学校流动，加大对乡镇教师在职称评定、职务晋升等方面支持力度。聚焦优化“一老一小”服务，推动居家养老、普惠托育向农村倾斜，加快嵌入式养老、助餐、婴幼儿托育、儿童游憩等各类服务设施。完善镇村公共文体设施体系，推进农村文化礼堂、乡镇体育馆等建设。加强联结城乡的冷链物流、配送投递、电商平台、农贸市场网络建设。</w:t>
      </w:r>
    </w:p>
    <w:p w14:paraId="0F88E5B2">
      <w:pPr>
        <w:overflowPunct w:val="0"/>
        <w:topLinePunct/>
        <w:adjustRightInd w:val="0"/>
        <w:spacing w:after="0" w:line="600" w:lineRule="exact"/>
        <w:jc w:val="center"/>
        <w:outlineLvl w:val="2"/>
        <w:rPr>
          <w:rFonts w:hint="default" w:ascii="Times New Roman" w:hAnsi="Times New Roman" w:eastAsia="楷体" w:cs="Times New Roman"/>
          <w:sz w:val="32"/>
          <w:szCs w:val="32"/>
        </w:rPr>
      </w:pPr>
      <w:bookmarkStart w:id="625" w:name="_Toc7787"/>
      <w:bookmarkStart w:id="626" w:name="_Toc16184"/>
      <w:bookmarkStart w:id="627" w:name="_Toc18600"/>
      <w:r>
        <w:rPr>
          <w:rFonts w:hint="default" w:ascii="Times New Roman" w:hAnsi="Times New Roman" w:eastAsia="楷体" w:cs="Times New Roman"/>
          <w:sz w:val="32"/>
          <w:szCs w:val="32"/>
        </w:rPr>
        <w:t>第三节 深化推进农村综合改革</w:t>
      </w:r>
      <w:bookmarkEnd w:id="625"/>
      <w:bookmarkEnd w:id="626"/>
      <w:bookmarkEnd w:id="627"/>
    </w:p>
    <w:p w14:paraId="6B4AEAD4">
      <w:pPr>
        <w:overflowPunct w:val="0"/>
        <w:topLinePunct/>
        <w:adjustRightInd w:val="0"/>
        <w:spacing w:after="0" w:line="600" w:lineRule="exact"/>
        <w:ind w:firstLine="640" w:firstLineChars="200"/>
        <w:jc w:val="both"/>
        <w:rPr>
          <w:rFonts w:hint="default" w:ascii="Times New Roman" w:hAnsi="Times New Roman" w:eastAsia="楷体" w:cs="Times New Roman"/>
          <w:sz w:val="32"/>
          <w:szCs w:val="32"/>
        </w:rPr>
      </w:pPr>
      <w:r>
        <w:rPr>
          <w:rFonts w:hint="default" w:ascii="Times New Roman" w:hAnsi="Times New Roman" w:eastAsia="楷体" w:cs="Times New Roman"/>
          <w:sz w:val="32"/>
          <w:szCs w:val="32"/>
        </w:rPr>
        <w:t>巩固完善农村基本经营制度。</w:t>
      </w:r>
      <w:r>
        <w:rPr>
          <w:rFonts w:hint="default" w:ascii="Times New Roman" w:hAnsi="Times New Roman" w:eastAsia="仿宋_GB2312" w:cs="Times New Roman"/>
          <w:sz w:val="32"/>
          <w:szCs w:val="32"/>
        </w:rPr>
        <w:t>有序推进第二轮土地承包到期后再延长三十年试点，保持土地承包关系稳定并长久不变。深化承包地所有权、承包权、经营权分置改革，推进农地规范有序流转，在保障农民土地权益前提下，提升土地规模经营效益。推进农业生产体系集成改革试点，开展“探索‘合作化经营+社会化服务’落实粮食安全责任机制”拓展试验任务，建立供地保障、单产提升、社会化服务和种粮主体收益提升等机制。</w:t>
      </w:r>
    </w:p>
    <w:p w14:paraId="3D3290A5">
      <w:pPr>
        <w:widowControl/>
        <w:overflowPunct w:val="0"/>
        <w:topLinePunct/>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提升农村集体经济能级。</w:t>
      </w:r>
      <w:r>
        <w:rPr>
          <w:rFonts w:hint="default" w:ascii="Times New Roman" w:hAnsi="Times New Roman" w:eastAsia="仿宋_GB2312" w:cs="Times New Roman"/>
          <w:sz w:val="32"/>
          <w:szCs w:val="32"/>
        </w:rPr>
        <w:t>加快零散资产归并、老旧资产更新，全力挖掘资产资源增效潜力。探索以市场化手段盘活村集体经营性资产，引导资源跨村整合、抱团发展。节约集约利用农村集体经营性建设用地，依法盘活用好闲置土地和房屋，严格控制农村集体经营风险，明确村股份经济合作社与市场化运营公司定位与边界，探索“强村带弱村”等合作发展模式。鼓励村集体经济组织在巩固物业租赁等业态基础上，探索资源发包、居间服务、产业经营等新业务发展。</w:t>
      </w:r>
      <w:r>
        <w:rPr>
          <w:rFonts w:hint="default" w:ascii="Times New Roman" w:hAnsi="Times New Roman" w:eastAsia="仿宋_GB2312" w:cs="Times New Roman"/>
          <w:sz w:val="32"/>
          <w:szCs w:val="32"/>
          <w:lang w:bidi="ar"/>
        </w:rPr>
        <w:t>支持歇马桥村等特色村庄深化“集体经济+国有资本+民营企业”合作模式，培育一批农文旅融合发展标杆。到2030年，村均经营性收入超千万元，全面消除经营性净收益亏损村，经营性净收益超100万元村占比超过50%。</w:t>
      </w:r>
    </w:p>
    <w:p w14:paraId="2BDF65FB">
      <w:pPr>
        <w:overflowPunct w:val="0"/>
        <w:topLinePunct/>
        <w:adjustRightInd w:val="0"/>
        <w:spacing w:after="0" w:line="600" w:lineRule="exact"/>
        <w:ind w:firstLine="640" w:firstLineChars="200"/>
        <w:jc w:val="both"/>
        <w:rPr>
          <w:rFonts w:hint="default" w:ascii="Times New Roman" w:hAnsi="Times New Roman" w:eastAsia="方正小标宋简体" w:cs="Times New Roman"/>
          <w:kern w:val="44"/>
          <w:sz w:val="36"/>
          <w:szCs w:val="36"/>
        </w:rPr>
      </w:pPr>
      <w:r>
        <w:rPr>
          <w:rFonts w:hint="default" w:ascii="Times New Roman" w:hAnsi="Times New Roman" w:eastAsia="楷体" w:cs="Times New Roman"/>
          <w:sz w:val="32"/>
          <w:szCs w:val="32"/>
        </w:rPr>
        <w:t>完善乡村振兴多元投入机制。</w:t>
      </w:r>
      <w:r>
        <w:rPr>
          <w:rFonts w:hint="default" w:ascii="Times New Roman" w:hAnsi="Times New Roman" w:eastAsia="仿宋_GB2312" w:cs="Times New Roman"/>
          <w:sz w:val="32"/>
          <w:szCs w:val="32"/>
        </w:rPr>
        <w:t>优化“大专项+任务清单”管理方式，推进涉农资金跨领域统筹、跨条线整合。加强农业农村领域投入，引导金融机构加大对乡村振兴领域信贷投放。深入推进农村信用体系建设，加强涉农信用信息归集共享。健全多层次农业保险体系，支持发展特色农产品保险。严厉打击农村非法金融活动，加强涉农资金监管。</w:t>
      </w:r>
    </w:p>
    <w:p w14:paraId="7ACD8877">
      <w:pPr>
        <w:rPr>
          <w:rFonts w:hint="default" w:ascii="Times New Roman" w:hAnsi="Times New Roman" w:cs="Times New Roman"/>
        </w:rPr>
      </w:pPr>
    </w:p>
    <w:p w14:paraId="24FE23B4">
      <w:pPr>
        <w:rPr>
          <w:rFonts w:hint="default" w:ascii="Times New Roman" w:hAnsi="Times New Roman" w:cs="Times New Roman"/>
        </w:rPr>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7E0E6B22">
      <w:pPr>
        <w:pStyle w:val="32"/>
        <w:overflowPunct w:val="0"/>
        <w:adjustRightInd w:val="0"/>
        <w:spacing w:before="156" w:beforeLines="50" w:after="156" w:afterLines="50" w:line="600" w:lineRule="exact"/>
        <w:ind w:firstLine="0" w:firstLineChars="0"/>
        <w:jc w:val="center"/>
        <w:outlineLvl w:val="0"/>
        <w:rPr>
          <w:rFonts w:hint="default" w:ascii="Times New Roman" w:hAnsi="Times New Roman" w:eastAsia="方正小标宋简体" w:cs="Times New Roman"/>
          <w:kern w:val="44"/>
          <w:sz w:val="36"/>
          <w:szCs w:val="36"/>
        </w:rPr>
      </w:pPr>
      <w:bookmarkStart w:id="628" w:name="_Toc10714"/>
      <w:bookmarkStart w:id="629" w:name="_Toc5260"/>
      <w:bookmarkStart w:id="630" w:name="_Toc23520"/>
      <w:r>
        <w:rPr>
          <w:rFonts w:hint="default" w:ascii="Times New Roman" w:hAnsi="Times New Roman" w:eastAsia="方正小标宋简体" w:cs="Times New Roman"/>
          <w:kern w:val="44"/>
          <w:sz w:val="36"/>
          <w:szCs w:val="36"/>
        </w:rPr>
        <w:t>第五篇 打造人民满意的“幸福之城”</w:t>
      </w:r>
      <w:bookmarkEnd w:id="628"/>
      <w:bookmarkEnd w:id="629"/>
      <w:bookmarkEnd w:id="630"/>
    </w:p>
    <w:p w14:paraId="2F280C57">
      <w:pPr>
        <w:pStyle w:val="3"/>
        <w:overflowPunct w:val="0"/>
        <w:spacing w:before="156" w:beforeLines="50" w:after="156" w:afterLines="50" w:line="600" w:lineRule="exact"/>
        <w:ind w:firstLine="0" w:firstLineChars="0"/>
        <w:jc w:val="center"/>
        <w:rPr>
          <w:rFonts w:hint="default" w:ascii="Times New Roman" w:hAnsi="Times New Roman" w:eastAsia="黑体" w:cs="Times New Roman"/>
          <w:b w:val="0"/>
          <w:bCs w:val="0"/>
        </w:rPr>
      </w:pPr>
      <w:bookmarkStart w:id="631" w:name="_Toc10140"/>
      <w:bookmarkStart w:id="632" w:name="_Toc30688"/>
      <w:bookmarkStart w:id="633" w:name="_Toc3412"/>
      <w:r>
        <w:rPr>
          <w:rFonts w:hint="default" w:ascii="Times New Roman" w:hAnsi="Times New Roman" w:eastAsia="黑体" w:cs="Times New Roman"/>
          <w:b w:val="0"/>
          <w:bCs w:val="0"/>
        </w:rPr>
        <w:t>第十四章 聚力提高人民群众生活品质</w:t>
      </w:r>
      <w:bookmarkEnd w:id="631"/>
      <w:bookmarkEnd w:id="632"/>
      <w:bookmarkEnd w:id="633"/>
    </w:p>
    <w:p w14:paraId="35201B1F">
      <w:pPr>
        <w:widowControl/>
        <w:spacing w:after="0" w:line="240" w:lineRule="auto"/>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聚焦“稳就业、促增收、强保障、优安居”，</w:t>
      </w:r>
      <w:r>
        <w:rPr>
          <w:rFonts w:hint="default" w:ascii="Times New Roman" w:hAnsi="Times New Roman" w:eastAsia="仿宋_GB2312" w:cs="Times New Roman"/>
          <w:color w:val="000000"/>
          <w:kern w:val="0"/>
          <w:sz w:val="32"/>
          <w:szCs w:val="32"/>
          <w:lang w:bidi="ar"/>
        </w:rPr>
        <w:t>持续擦亮</w:t>
      </w:r>
      <w:r>
        <w:rPr>
          <w:rFonts w:hint="default" w:ascii="Times New Roman" w:hAnsi="Times New Roman" w:eastAsia="宋体" w:cs="Times New Roman"/>
          <w:color w:val="000000"/>
          <w:kern w:val="0"/>
          <w:sz w:val="32"/>
          <w:szCs w:val="32"/>
          <w:lang w:bidi="ar"/>
        </w:rPr>
        <w:t>“</w:t>
      </w:r>
      <w:r>
        <w:rPr>
          <w:rFonts w:hint="default" w:ascii="Times New Roman" w:hAnsi="Times New Roman" w:eastAsia="仿宋_GB2312" w:cs="Times New Roman"/>
          <w:color w:val="000000"/>
          <w:kern w:val="0"/>
          <w:sz w:val="32"/>
          <w:szCs w:val="32"/>
          <w:lang w:bidi="ar"/>
        </w:rPr>
        <w:t>温暖</w:t>
      </w:r>
      <w:r>
        <w:rPr>
          <w:rFonts w:hint="default" w:ascii="Times New Roman" w:hAnsi="Times New Roman" w:eastAsia="宋体" w:cs="Times New Roman"/>
          <w:color w:val="000000"/>
          <w:kern w:val="0"/>
          <w:sz w:val="32"/>
          <w:szCs w:val="32"/>
          <w:lang w:bidi="ar"/>
        </w:rPr>
        <w:t>+1℃”</w:t>
      </w:r>
      <w:r>
        <w:rPr>
          <w:rFonts w:hint="default" w:ascii="Times New Roman" w:hAnsi="Times New Roman" w:eastAsia="仿宋_GB2312" w:cs="Times New Roman"/>
          <w:color w:val="000000"/>
          <w:kern w:val="0"/>
          <w:sz w:val="32"/>
          <w:szCs w:val="32"/>
          <w:lang w:bidi="ar"/>
        </w:rPr>
        <w:t>民生服务品牌，</w:t>
      </w:r>
      <w:r>
        <w:rPr>
          <w:rFonts w:hint="default" w:ascii="Times New Roman" w:hAnsi="Times New Roman" w:eastAsia="仿宋_GB2312" w:cs="Times New Roman"/>
          <w:color w:val="000000"/>
          <w:kern w:val="0"/>
          <w:sz w:val="32"/>
          <w:szCs w:val="32"/>
        </w:rPr>
        <w:t>健全覆盖全人群、全生命周期的公共服务体系</w:t>
      </w:r>
      <w:r>
        <w:rPr>
          <w:rFonts w:hint="default" w:ascii="Times New Roman" w:hAnsi="Times New Roman" w:eastAsia="仿宋_GB2312" w:cs="Times New Roman"/>
          <w:sz w:val="32"/>
          <w:szCs w:val="32"/>
        </w:rPr>
        <w:t>，深化落实好对新市民群体服务保障，促进全市常住人口稳步增长，推行常住地提供基本公共服务，让发展成果更多更公平惠及全体人民。</w:t>
      </w:r>
    </w:p>
    <w:p w14:paraId="2EC1988A">
      <w:pPr>
        <w:overflowPunct w:val="0"/>
        <w:spacing w:after="0" w:line="600" w:lineRule="exact"/>
        <w:jc w:val="center"/>
        <w:outlineLvl w:val="2"/>
        <w:rPr>
          <w:rFonts w:hint="default" w:ascii="Times New Roman" w:hAnsi="Times New Roman" w:eastAsia="楷体" w:cs="Times New Roman"/>
          <w:sz w:val="32"/>
          <w:szCs w:val="32"/>
        </w:rPr>
      </w:pPr>
      <w:bookmarkStart w:id="634" w:name="_Toc21522"/>
      <w:bookmarkStart w:id="635" w:name="_Toc8649"/>
      <w:bookmarkStart w:id="636" w:name="_Toc23164"/>
      <w:r>
        <w:rPr>
          <w:rFonts w:hint="default" w:ascii="Times New Roman" w:hAnsi="Times New Roman" w:eastAsia="楷体" w:cs="Times New Roman"/>
          <w:sz w:val="32"/>
          <w:szCs w:val="32"/>
        </w:rPr>
        <w:t>第一节 促进人口高质量发展</w:t>
      </w:r>
      <w:bookmarkEnd w:id="634"/>
      <w:bookmarkEnd w:id="635"/>
      <w:bookmarkEnd w:id="636"/>
    </w:p>
    <w:p w14:paraId="044D951B">
      <w:pPr>
        <w:pStyle w:val="32"/>
        <w:overflowPunct w:val="0"/>
        <w:spacing w:after="0" w:line="600" w:lineRule="exact"/>
        <w:ind w:firstLine="64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保持常住人口总量稳定。</w:t>
      </w:r>
      <w:r>
        <w:rPr>
          <w:rFonts w:hint="default" w:ascii="Times New Roman" w:hAnsi="Times New Roman" w:eastAsia="仿宋_GB2312" w:cs="Times New Roman"/>
          <w:sz w:val="32"/>
          <w:szCs w:val="32"/>
        </w:rPr>
        <w:t>准确把握人口发展趋势，</w:t>
      </w:r>
      <w:r>
        <w:rPr>
          <w:rFonts w:hint="default" w:ascii="Times New Roman" w:hAnsi="Times New Roman" w:eastAsia="仿宋_GB2312" w:cs="Times New Roman"/>
          <w:color w:val="000000"/>
          <w:kern w:val="0"/>
          <w:sz w:val="32"/>
          <w:szCs w:val="32"/>
        </w:rPr>
        <w:t>完善落户政策，按常住人口规模和服务需求统筹公共服务设施布局。推动户籍改革与教育保障联动，优化积分入学。深化“昆山工匠”培育工程，引育更多技能型人才，大力加强产业工人队伍建设</w:t>
      </w:r>
      <w:r>
        <w:rPr>
          <w:rFonts w:hint="default" w:ascii="Times New Roman" w:hAnsi="Times New Roman" w:eastAsia="仿宋_GB2312" w:cs="Times New Roman"/>
          <w:kern w:val="0"/>
          <w:sz w:val="32"/>
          <w:szCs w:val="32"/>
        </w:rPr>
        <w:t>。健全企业对技能人才自主培养和评价制度，鼓励链主企业牵头建设产教评融通融合技能生态链。</w:t>
      </w:r>
      <w:r>
        <w:rPr>
          <w:rFonts w:hint="default" w:ascii="Times New Roman" w:hAnsi="Times New Roman" w:eastAsia="仿宋_GB2312" w:cs="Times New Roman"/>
          <w:color w:val="000000"/>
          <w:kern w:val="0"/>
          <w:sz w:val="32"/>
          <w:szCs w:val="32"/>
        </w:rPr>
        <w:t>盘活职业培训机构、高技能人才公共实训基地等资源，鼓励优质市场主体与职业院校共建工匠学院、产业学院，力争到2030年，新增高技能人才40000人。加强新市民服务保障，深化“昆城暖新”行动，织密覆盖全域、便捷可及的服务网络。</w:t>
      </w:r>
    </w:p>
    <w:p w14:paraId="2035BFB0">
      <w:pPr>
        <w:overflowPunct w:val="0"/>
        <w:spacing w:after="0" w:line="600" w:lineRule="exact"/>
        <w:ind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楷体" w:cs="Times New Roman"/>
          <w:sz w:val="32"/>
          <w:szCs w:val="32"/>
        </w:rPr>
        <w:t>健全生育支持政策体系。</w:t>
      </w:r>
      <w:r>
        <w:rPr>
          <w:rFonts w:hint="default" w:ascii="Times New Roman" w:hAnsi="Times New Roman" w:eastAsia="仿宋_GB2312" w:cs="Times New Roman"/>
          <w:kern w:val="0"/>
          <w:sz w:val="32"/>
          <w:szCs w:val="32"/>
        </w:rPr>
        <w:t>落实生育支持和激励政策，大力</w:t>
      </w:r>
      <w:r>
        <w:rPr>
          <w:rFonts w:hint="default" w:ascii="Times New Roman" w:hAnsi="Times New Roman" w:eastAsia="仿宋_GB2312" w:cs="Times New Roman"/>
          <w:sz w:val="32"/>
          <w:szCs w:val="32"/>
        </w:rPr>
        <w:t>发展普惠托育和托幼一体化服务。统筹育幼资源，推进学前教育和托育服务协调可持续发展。</w:t>
      </w:r>
      <w:r>
        <w:rPr>
          <w:rFonts w:hint="default" w:ascii="Times New Roman" w:hAnsi="Times New Roman" w:eastAsia="仿宋_GB2312" w:cs="Times New Roman"/>
          <w:kern w:val="0"/>
          <w:sz w:val="32"/>
          <w:szCs w:val="32"/>
        </w:rPr>
        <w:t>落实生育保险和生育休假制度，探索设立“生育友好岗”“妈妈岗”，保障女性合法权益。大力弘扬新型婚育文化，倡导重视生育、适龄婚育和优生优育，推动夫妻共担育儿责任。</w:t>
      </w:r>
      <w:r>
        <w:rPr>
          <w:rFonts w:hint="default" w:ascii="Times New Roman" w:hAnsi="Times New Roman" w:eastAsia="仿宋_GB2312" w:cs="Times New Roman"/>
          <w:sz w:val="31"/>
          <w:szCs w:val="31"/>
        </w:rPr>
        <w:t>加大妇女和儿童健康服务供给，创建高水平妇幼保健院，建设生育友好医院、儿童友好医院，完善危重孕产妇和儿童救治网络</w:t>
      </w:r>
      <w:r>
        <w:rPr>
          <w:rFonts w:hint="default" w:ascii="Times New Roman" w:hAnsi="Times New Roman" w:eastAsia="仿宋_GB2312" w:cs="Times New Roman"/>
          <w:kern w:val="0"/>
          <w:sz w:val="32"/>
          <w:szCs w:val="32"/>
        </w:rPr>
        <w:t>。深入实施母婴安全、出生缺陷防治、早孕关爱行动，提高优生优育服务水平。</w:t>
      </w:r>
    </w:p>
    <w:p w14:paraId="61997600">
      <w:pPr>
        <w:overflowPunct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加强妇女儿童权益保障。</w:t>
      </w:r>
      <w:r>
        <w:rPr>
          <w:rFonts w:hint="default" w:ascii="Times New Roman" w:hAnsi="Times New Roman" w:eastAsia="仿宋_GB2312" w:cs="Times New Roman"/>
          <w:sz w:val="32"/>
          <w:szCs w:val="32"/>
        </w:rPr>
        <w:t>加大男女平等基本国策宣传贯彻力度，推动妇女维权服务融入基层社会治理体系，建立更为完善的婚姻家庭风险隐患早期发现与干预机制，加强对困难妇女群体关心关爱。完善宫颈癌、乳腺癌“两癌”综合防治体系。优化妇女就业创业环境，开展针对女性职业技能培训，推动落实性别平等薪酬制度。深化儿童友好城市建设，开发一批儿童户外游乐场景，拓展儿童友好空间。开展“点亮希望”重点儿童关爱保护行动，加强未成年人六大保护，营造关心关爱未成年人健康成长环境。健全分层分类儿童福利保障体系，加强对困境儿童精准排查和兜底保障。</w:t>
      </w:r>
    </w:p>
    <w:p w14:paraId="5B82451D">
      <w:pPr>
        <w:overflowPunct w:val="0"/>
        <w:spacing w:after="0" w:line="600" w:lineRule="exact"/>
        <w:jc w:val="center"/>
        <w:outlineLvl w:val="2"/>
        <w:rPr>
          <w:rFonts w:hint="default" w:ascii="Times New Roman" w:hAnsi="Times New Roman" w:eastAsia="楷体" w:cs="Times New Roman"/>
          <w:sz w:val="32"/>
          <w:szCs w:val="32"/>
        </w:rPr>
      </w:pPr>
      <w:bookmarkStart w:id="637" w:name="_Toc22839"/>
      <w:bookmarkStart w:id="638" w:name="_Toc10571"/>
      <w:bookmarkStart w:id="639" w:name="_Toc7708"/>
      <w:r>
        <w:rPr>
          <w:rFonts w:hint="default" w:ascii="Times New Roman" w:hAnsi="Times New Roman" w:eastAsia="楷体" w:cs="Times New Roman"/>
          <w:sz w:val="32"/>
          <w:szCs w:val="32"/>
        </w:rPr>
        <w:t>第二节 构建多层次保障体系</w:t>
      </w:r>
      <w:bookmarkEnd w:id="637"/>
      <w:bookmarkEnd w:id="638"/>
      <w:bookmarkEnd w:id="639"/>
    </w:p>
    <w:p w14:paraId="57E661E0">
      <w:pPr>
        <w:overflowPunct w:val="0"/>
        <w:spacing w:after="0" w:line="600" w:lineRule="exact"/>
        <w:ind w:firstLine="640" w:firstLineChars="200"/>
        <w:jc w:val="both"/>
        <w:rPr>
          <w:rFonts w:hint="default" w:ascii="Times New Roman" w:hAnsi="Times New Roman" w:eastAsia="仿宋_GB2312" w:cs="Times New Roman"/>
          <w:color w:val="000000"/>
          <w:kern w:val="0"/>
          <w:sz w:val="32"/>
          <w:szCs w:val="32"/>
        </w:rPr>
      </w:pPr>
      <w:r>
        <w:rPr>
          <w:rFonts w:hint="default" w:ascii="Times New Roman" w:hAnsi="Times New Roman" w:eastAsia="楷体" w:cs="Times New Roman"/>
          <w:sz w:val="32"/>
          <w:szCs w:val="32"/>
        </w:rPr>
        <w:t>不断拓宽就业增收渠道。</w:t>
      </w:r>
      <w:r>
        <w:rPr>
          <w:rFonts w:hint="default" w:ascii="Times New Roman" w:hAnsi="Times New Roman" w:eastAsia="仿宋_GB2312" w:cs="Times New Roman"/>
          <w:sz w:val="32"/>
          <w:szCs w:val="32"/>
        </w:rPr>
        <w:t>聚焦高校毕业生等群体，实施就业倍增行动与“归雁计划”，加强大龄、残疾、长期失业等困难群体就业帮扶，加大公益性岗位开发安置。完善“15分钟就业服务圈”，加强“家门口”就业服务站、零工市场（驿站）等建设。健全劳动人事争议多元处理机制。稳步推进富民增收，落</w:t>
      </w:r>
      <w:r>
        <w:rPr>
          <w:rFonts w:hint="default" w:ascii="Times New Roman" w:hAnsi="Times New Roman" w:eastAsia="仿宋_GB2312" w:cs="Times New Roman"/>
          <w:color w:val="000000"/>
          <w:kern w:val="0"/>
          <w:sz w:val="32"/>
          <w:szCs w:val="32"/>
        </w:rPr>
        <w:t>实与经济发展相适应的工资增长机制和最低工资标准动态调整机制，</w:t>
      </w:r>
      <w:r>
        <w:rPr>
          <w:rFonts w:hint="default" w:ascii="Times New Roman" w:hAnsi="Times New Roman" w:eastAsia="仿宋_GB2312" w:cs="Times New Roman"/>
          <w:sz w:val="32"/>
          <w:szCs w:val="32"/>
        </w:rPr>
        <w:t>健全知识、技术、管理、数据等创新要素参与分配机制，实施城乡居民增收计划，多措并举推动低收入群体增收，</w:t>
      </w:r>
      <w:r>
        <w:rPr>
          <w:rFonts w:hint="default" w:ascii="Times New Roman" w:hAnsi="Times New Roman" w:eastAsia="仿宋_GB2312" w:cs="Times New Roman"/>
          <w:color w:val="000000"/>
          <w:kern w:val="0"/>
          <w:sz w:val="32"/>
          <w:szCs w:val="32"/>
        </w:rPr>
        <w:t>确保居民人均可支配收入与经济增长同步。深化集体经营性建设用地和宅基地权能改革，使财产性和经营性收入成为农民增收重要渠道。</w:t>
      </w:r>
    </w:p>
    <w:p w14:paraId="61C4E25B">
      <w:pPr>
        <w:overflowPunct w:val="0"/>
        <w:spacing w:after="0" w:line="600" w:lineRule="exact"/>
        <w:ind w:firstLine="640" w:firstLineChars="200"/>
        <w:jc w:val="both"/>
        <w:rPr>
          <w:rFonts w:hint="default" w:ascii="Times New Roman" w:hAnsi="Times New Roman" w:eastAsia="仿宋_GB2312" w:cs="Times New Roman"/>
          <w:spacing w:val="-4"/>
          <w:kern w:val="0"/>
          <w:sz w:val="32"/>
          <w:szCs w:val="32"/>
        </w:rPr>
      </w:pPr>
      <w:r>
        <w:rPr>
          <w:rFonts w:hint="default" w:ascii="Times New Roman" w:hAnsi="Times New Roman" w:eastAsia="楷体" w:cs="Times New Roman"/>
          <w:sz w:val="32"/>
          <w:szCs w:val="32"/>
        </w:rPr>
        <w:t>持续完善社会保障体系。</w:t>
      </w:r>
      <w:r>
        <w:rPr>
          <w:rFonts w:hint="default" w:ascii="Times New Roman" w:hAnsi="Times New Roman" w:eastAsia="仿宋_GB2312" w:cs="Times New Roman"/>
          <w:sz w:val="32"/>
          <w:szCs w:val="32"/>
        </w:rPr>
        <w:t>深入实施全民参保计划，织密扎牢社会保障安全网。完善城乡居民基本养老保险制度和被征地农民社会保障政策，探索建立兼顾各类群体待遇合理增长的机制。大力推动企业（职业）年金和个人养老金发展。鼓励保险机构开发长期护理、疾病康复等商业养老保险产品。推进居民养老保险集体补助试点，减轻参保负担。完善新就业群体服务体系，实施“社保护航小微无忧”行动，扩大中小微企业及新业态、灵活就业人员参保覆盖。</w:t>
      </w:r>
      <w:r>
        <w:rPr>
          <w:rFonts w:hint="default" w:ascii="Times New Roman" w:hAnsi="Times New Roman" w:eastAsia="仿宋_GB2312" w:cs="Times New Roman"/>
          <w:spacing w:val="-4"/>
          <w:kern w:val="0"/>
          <w:sz w:val="32"/>
          <w:szCs w:val="32"/>
        </w:rPr>
        <w:t>健全多层次医疗保障制度体系，完善大病保险和医疗救助制度，支持商业医疗保险发展。统筹推进医疗服务价格调整、医保支付方式改革、药品耗材集中带量采购，实施县域紧密型医共体医保总额付费。严厉打击欺诈骗保。</w:t>
      </w:r>
    </w:p>
    <w:p w14:paraId="30FDAE6A">
      <w:pPr>
        <w:overflowPunct w:val="0"/>
        <w:spacing w:after="0" w:line="600" w:lineRule="exact"/>
        <w:ind w:firstLine="640" w:firstLineChars="200"/>
        <w:jc w:val="both"/>
        <w:rPr>
          <w:rFonts w:hint="default" w:ascii="Times New Roman" w:hAnsi="Times New Roman" w:eastAsia="楷体" w:cs="Times New Roman"/>
          <w:sz w:val="32"/>
          <w:szCs w:val="32"/>
        </w:rPr>
      </w:pPr>
      <w:r>
        <w:rPr>
          <w:rFonts w:hint="default" w:ascii="Times New Roman" w:hAnsi="Times New Roman" w:eastAsia="楷体" w:cs="Times New Roman"/>
          <w:sz w:val="32"/>
          <w:szCs w:val="32"/>
        </w:rPr>
        <w:t>健全城乡社会救助体系。</w:t>
      </w:r>
      <w:r>
        <w:rPr>
          <w:rFonts w:hint="default" w:ascii="Times New Roman" w:hAnsi="Times New Roman" w:eastAsia="仿宋_GB2312" w:cs="Times New Roman"/>
          <w:sz w:val="32"/>
          <w:szCs w:val="32"/>
        </w:rPr>
        <w:t>完善困难群众综合帮扶工作机制，健全主动发现、监测预警、统一认定、分类帮扶制度，推进社会救助扩围增效。推进服务类社会救助发展，引导慈善、社工等社会力量参与，实现救助主体多元化、方式多样化。落实困境儿童基本生活保障、困难残疾人生活补贴和重度残疾人护理补贴等福利政策，深化精神障碍社区康复服务工作，助力特殊弱势群体共享经济社会发展成果。</w:t>
      </w:r>
    </w:p>
    <w:p w14:paraId="7F8A8983">
      <w:pPr>
        <w:widowControl/>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优化多层次住房体系。</w:t>
      </w:r>
      <w:r>
        <w:rPr>
          <w:rFonts w:hint="default" w:ascii="Times New Roman" w:hAnsi="Times New Roman" w:eastAsia="仿宋_GB2312" w:cs="Times New Roman"/>
          <w:sz w:val="32"/>
          <w:szCs w:val="32"/>
        </w:rPr>
        <w:t>构建房地产发展新模式，推进“人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房</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地</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钱”要素联动，深化住房公积金制度改革，加强住房供应与土地供应计划衔接，重点支持刚性和改善性住房需求，</w:t>
      </w:r>
      <w:r>
        <w:rPr>
          <w:rFonts w:hint="default" w:ascii="Times New Roman" w:hAnsi="Times New Roman" w:eastAsia="仿宋_GB2312" w:cs="Times New Roman"/>
          <w:color w:val="000000"/>
          <w:kern w:val="0"/>
          <w:sz w:val="32"/>
          <w:szCs w:val="32"/>
          <w:lang w:bidi="ar"/>
        </w:rPr>
        <w:t>形成</w:t>
      </w:r>
      <w:r>
        <w:rPr>
          <w:rFonts w:hint="default" w:ascii="Times New Roman" w:hAnsi="Times New Roman" w:eastAsia="宋体" w:cs="Times New Roman"/>
          <w:color w:val="000000"/>
          <w:kern w:val="0"/>
          <w:sz w:val="32"/>
          <w:szCs w:val="32"/>
          <w:lang w:bidi="ar"/>
        </w:rPr>
        <w:t>“</w:t>
      </w:r>
      <w:r>
        <w:rPr>
          <w:rFonts w:hint="default" w:ascii="Times New Roman" w:hAnsi="Times New Roman" w:eastAsia="仿宋_GB2312" w:cs="Times New Roman"/>
          <w:color w:val="000000"/>
          <w:kern w:val="0"/>
          <w:sz w:val="32"/>
          <w:szCs w:val="32"/>
          <w:lang w:bidi="ar"/>
        </w:rPr>
        <w:t>租购并举、定位清晰、供给精准</w:t>
      </w:r>
      <w:r>
        <w:rPr>
          <w:rFonts w:hint="default" w:ascii="Times New Roman" w:hAnsi="Times New Roman" w:eastAsia="宋体" w:cs="Times New Roman"/>
          <w:color w:val="000000"/>
          <w:kern w:val="0"/>
          <w:sz w:val="32"/>
          <w:szCs w:val="32"/>
          <w:lang w:bidi="ar"/>
        </w:rPr>
        <w:t>”</w:t>
      </w:r>
      <w:r>
        <w:rPr>
          <w:rFonts w:hint="default" w:ascii="Times New Roman" w:hAnsi="Times New Roman" w:eastAsia="仿宋_GB2312" w:cs="Times New Roman"/>
          <w:color w:val="000000"/>
          <w:kern w:val="0"/>
          <w:sz w:val="32"/>
          <w:szCs w:val="32"/>
          <w:lang w:bidi="ar"/>
        </w:rPr>
        <w:t>的特色化住房体系。围绕产业工人、青年人才、高层次人才以及老年人、学生家庭五类目标群体核心需求，实施</w:t>
      </w:r>
      <w:r>
        <w:rPr>
          <w:rFonts w:hint="default" w:ascii="Times New Roman" w:hAnsi="Times New Roman" w:eastAsia="宋体" w:cs="Times New Roman"/>
          <w:color w:val="000000"/>
          <w:kern w:val="0"/>
          <w:sz w:val="32"/>
          <w:szCs w:val="32"/>
          <w:lang w:bidi="ar"/>
        </w:rPr>
        <w:t>“3+2”</w:t>
      </w:r>
      <w:r>
        <w:rPr>
          <w:rFonts w:hint="default" w:ascii="Times New Roman" w:hAnsi="Times New Roman" w:eastAsia="仿宋_GB2312" w:cs="Times New Roman"/>
          <w:color w:val="000000"/>
          <w:kern w:val="0"/>
          <w:sz w:val="32"/>
          <w:szCs w:val="32"/>
          <w:lang w:bidi="ar"/>
        </w:rPr>
        <w:t>品质优居专项行动。</w:t>
      </w:r>
      <w:r>
        <w:rPr>
          <w:rFonts w:hint="default" w:ascii="Times New Roman" w:hAnsi="Times New Roman" w:eastAsia="仿宋_GB2312" w:cs="Times New Roman"/>
          <w:sz w:val="32"/>
          <w:szCs w:val="32"/>
        </w:rPr>
        <w:t>高效运营安居公司，加强保障性住房供给。到2030年，累计筹建保障性租赁住房4.7万套。坚持“好房子”理念，提升住房建设标准，推动住宅产品全面升级。加强“物业城市”建设，分类构建物业长效管理机制，创建一批红管先锋暨党建引领物业管理服务工作品牌项目。</w:t>
      </w:r>
    </w:p>
    <w:p w14:paraId="290EB409">
      <w:pPr>
        <w:overflowPunct w:val="0"/>
        <w:spacing w:after="0" w:line="600" w:lineRule="exact"/>
        <w:jc w:val="center"/>
        <w:outlineLvl w:val="2"/>
        <w:rPr>
          <w:rFonts w:hint="default" w:ascii="Times New Roman" w:hAnsi="Times New Roman" w:eastAsia="楷体" w:cs="Times New Roman"/>
          <w:sz w:val="32"/>
          <w:szCs w:val="32"/>
        </w:rPr>
      </w:pPr>
      <w:bookmarkStart w:id="640" w:name="_Toc744"/>
      <w:bookmarkStart w:id="641" w:name="_Toc6594"/>
      <w:bookmarkStart w:id="642" w:name="_Toc15770"/>
      <w:r>
        <w:rPr>
          <w:rFonts w:hint="default" w:ascii="Times New Roman" w:hAnsi="Times New Roman" w:eastAsia="楷体" w:cs="Times New Roman"/>
          <w:sz w:val="32"/>
          <w:szCs w:val="32"/>
        </w:rPr>
        <w:t>第三节 办好人民满意教育</w:t>
      </w:r>
      <w:bookmarkEnd w:id="640"/>
      <w:bookmarkEnd w:id="641"/>
      <w:bookmarkEnd w:id="642"/>
    </w:p>
    <w:p w14:paraId="2AC36FE3">
      <w:pPr>
        <w:overflowPunct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推动教育资源均衡优质。</w:t>
      </w:r>
      <w:r>
        <w:rPr>
          <w:rFonts w:hint="default" w:ascii="Times New Roman" w:hAnsi="Times New Roman" w:eastAsia="仿宋_GB2312" w:cs="Times New Roman"/>
          <w:sz w:val="32"/>
          <w:szCs w:val="32"/>
        </w:rPr>
        <w:t>开展适应人口变化的基础教育资源调配机制改革，稳步推进施教区划分调整，探索打通各学段教育资源。推动学前教育普及普惠发展，逐步落实免费学前教育，推进幼托一体化发展。深化义务教育集团化办学，推进新优质学校建设，试点小班化教学。落实普通高中质量提升工程，支持昆山中学建设省高品质示范高中，加快张浦、陆家和娄苑路高级中学等重点项目建设，新增普高学位1万个以上。落实外来用工子女入学便利化改革，强化随迁子女教育保障。推进特殊教育优质融合发展，完成爱心学校新建工程。</w:t>
      </w:r>
    </w:p>
    <w:p w14:paraId="36725888">
      <w:pPr>
        <w:overflowPunct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加快推进职业教育改革。</w:t>
      </w:r>
      <w:r>
        <w:rPr>
          <w:rFonts w:hint="default" w:ascii="Times New Roman" w:hAnsi="Times New Roman" w:eastAsia="仿宋_GB2312" w:cs="Times New Roman"/>
          <w:sz w:val="32"/>
          <w:szCs w:val="32"/>
        </w:rPr>
        <w:t>构建职普融通、产教融合的职业教育体系，高水平建设一批市域产教联合体、行业产教融合共同体。聚</w:t>
      </w:r>
      <w:r>
        <w:rPr>
          <w:rFonts w:hint="default" w:ascii="Times New Roman" w:hAnsi="Times New Roman" w:eastAsia="仿宋_GB2312" w:cs="Times New Roman"/>
          <w:color w:val="000000"/>
          <w:sz w:val="32"/>
          <w:szCs w:val="32"/>
          <w:lang w:bidi="ar"/>
        </w:rPr>
        <w:t>焦新兴产业发展方向，开发设置与地方经济发展紧密度高、适配度强的新专业。</w:t>
      </w:r>
      <w:r>
        <w:rPr>
          <w:rFonts w:hint="default" w:ascii="Times New Roman" w:hAnsi="Times New Roman" w:eastAsia="仿宋_GB2312" w:cs="Times New Roman"/>
          <w:sz w:val="32"/>
          <w:szCs w:val="32"/>
        </w:rPr>
        <w:t>实施职业教育质量提升工程，推进专业课程、教材教法等改革。加强“双师型”教师队伍建设，引育一批职教“领军人才”。探索纵向贯通、横向融通机制，完善适应中职职教高考制度的培养模式。深化职业教育现代学徒制本土实践。</w:t>
      </w:r>
    </w:p>
    <w:p w14:paraId="41D3286E">
      <w:pPr>
        <w:overflowPunct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造就高水平教师队伍。</w:t>
      </w:r>
      <w:r>
        <w:rPr>
          <w:rFonts w:hint="default" w:ascii="Times New Roman" w:hAnsi="Times New Roman" w:eastAsia="仿宋_GB2312" w:cs="Times New Roman"/>
          <w:sz w:val="32"/>
          <w:szCs w:val="32"/>
        </w:rPr>
        <w:t>实施教育家精神铸魂强师行动，加强教师队伍思想政治工作和理想信念教育，筑牢广大教师为党育人、为国育才的初心使命。健全师德师风建设长效机制，严格落实师德失范“零容忍”。深入实施新时代基础教育强师计划，完善教师分层培养体系，大力推进名校长、名班主任、名教师“三名工程”建设，建优建强名师工作室等平台载体。优化学校师生配比，健全交流轮岗保障机制，落实跨学段教师遴选、银龄讲学计划，保障师资供给。建立优质学校与新建学校教师结对帮扶机制，加强对新入职教师、青年教师指导。建立“乡村骨干教师培育站”，促进城乡师资均衡发展。</w:t>
      </w:r>
    </w:p>
    <w:p w14:paraId="15288688">
      <w:pPr>
        <w:spacing w:beforeAutospacing="1" w:line="276" w:lineRule="auto"/>
        <w:ind w:firstLine="640" w:firstLineChars="200"/>
        <w:rPr>
          <w:rFonts w:hint="default" w:ascii="Times New Roman" w:hAnsi="Times New Roman" w:cs="Times New Roman"/>
        </w:rPr>
      </w:pPr>
      <w:r>
        <w:rPr>
          <w:rFonts w:hint="default" w:ascii="Times New Roman" w:hAnsi="Times New Roman" w:eastAsia="楷体" w:cs="Times New Roman"/>
          <w:sz w:val="32"/>
          <w:szCs w:val="32"/>
        </w:rPr>
        <w:t>促进学生健康成长。</w:t>
      </w:r>
      <w:r>
        <w:rPr>
          <w:rFonts w:hint="default" w:ascii="Times New Roman" w:hAnsi="Times New Roman" w:eastAsia="仿宋_GB2312" w:cs="Times New Roman"/>
          <w:sz w:val="32"/>
          <w:szCs w:val="32"/>
        </w:rPr>
        <w:t>扎实推进“五育并举”，全面推进“2·15”专项行动，健全学生体质健康监测体系。落实青少年心理健康“润心”行动，健全学校、家庭、社会协同育人机制，打造“不同层次、不同专长”的家校社共育专业队伍。开展家庭教育指导服务，营造家庭文明新风尚，打通青少年心理健康关爱“最后一公里”。实施美育浸润计划，推进昆曲等高雅艺术进校园。加强劳动教育和科技教育，提升学生动手实践和科学探究能力。巩固“双减”成果，强化学校教育主阵地，拓展网络育人和实践育人线上线下空间资源。</w:t>
      </w:r>
      <w:r>
        <w:rPr>
          <w:rFonts w:hint="default" w:ascii="Times New Roman" w:hAnsi="Times New Roman" w:eastAsia="仿宋_GB2312" w:cs="Times New Roman"/>
          <w:sz w:val="32"/>
          <w:szCs w:val="32"/>
          <w:lang w:bidi="ar"/>
        </w:rPr>
        <w:t>落实义务教育学校春秋假制度，</w:t>
      </w:r>
      <w:r>
        <w:rPr>
          <w:rFonts w:hint="default" w:ascii="Times New Roman" w:hAnsi="Times New Roman" w:eastAsia="仿宋_GB2312" w:cs="Times New Roman"/>
          <w:color w:val="000000"/>
          <w:sz w:val="32"/>
          <w:szCs w:val="32"/>
          <w:lang w:bidi="ar"/>
        </w:rPr>
        <w:t>促进学生身心健康、全面发展。</w:t>
      </w:r>
    </w:p>
    <w:p w14:paraId="05B2623A">
      <w:pPr>
        <w:overflowPunct w:val="0"/>
        <w:spacing w:after="0" w:line="600" w:lineRule="exact"/>
        <w:jc w:val="center"/>
        <w:outlineLvl w:val="2"/>
        <w:rPr>
          <w:rFonts w:hint="default" w:ascii="Times New Roman" w:hAnsi="Times New Roman" w:eastAsia="楷体" w:cs="Times New Roman"/>
          <w:sz w:val="32"/>
          <w:szCs w:val="32"/>
        </w:rPr>
      </w:pPr>
      <w:bookmarkStart w:id="643" w:name="_Toc352"/>
      <w:bookmarkStart w:id="644" w:name="_Toc29996"/>
      <w:bookmarkStart w:id="645" w:name="_Toc26147"/>
      <w:r>
        <w:rPr>
          <w:rFonts w:hint="default" w:ascii="Times New Roman" w:hAnsi="Times New Roman" w:eastAsia="楷体" w:cs="Times New Roman"/>
          <w:sz w:val="32"/>
          <w:szCs w:val="32"/>
        </w:rPr>
        <w:t>第四节 优化医疗服务供给</w:t>
      </w:r>
      <w:bookmarkEnd w:id="643"/>
      <w:bookmarkEnd w:id="644"/>
      <w:bookmarkEnd w:id="645"/>
    </w:p>
    <w:p w14:paraId="2CD78651">
      <w:pPr>
        <w:overflowPunct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提升公共卫生事件应对能力。</w:t>
      </w:r>
      <w:r>
        <w:rPr>
          <w:rFonts w:hint="default" w:ascii="Times New Roman" w:hAnsi="Times New Roman" w:eastAsia="仿宋_GB2312" w:cs="Times New Roman"/>
          <w:sz w:val="32"/>
          <w:szCs w:val="32"/>
        </w:rPr>
        <w:t>深化国家传染病防控医防协同医防融合首批试点城市建设，建立疾控技术支撑与监督执法有效协同模式，健全及时发现、快速处置、精准管控、有效救治机制。加强公共卫生能力建设，防控重大传染病，全方位提升急诊急救、血液保障和应急能力。构建多元参与公共卫生治理网络，压实属地、部门、单位、个人“四方责任”，完善职业病防治与监督体系。加强应急演练和应急预案管理，完善信息发布与舆情监测，有效应对各类突发公共卫生事件。落实健康优先发展战略，</w:t>
      </w:r>
      <w:r>
        <w:rPr>
          <w:rFonts w:hint="default" w:ascii="Times New Roman" w:hAnsi="Times New Roman" w:eastAsia="仿宋_GB2312" w:cs="Times New Roman"/>
          <w:sz w:val="32"/>
          <w:szCs w:val="32"/>
          <w:lang w:val="en-US" w:eastAsia="zh-CN"/>
        </w:rPr>
        <w:t>大力</w:t>
      </w:r>
      <w:r>
        <w:rPr>
          <w:rFonts w:hint="default" w:ascii="Times New Roman" w:hAnsi="Times New Roman" w:eastAsia="仿宋_GB2312" w:cs="Times New Roman"/>
          <w:sz w:val="32"/>
          <w:szCs w:val="32"/>
        </w:rPr>
        <w:t>开展</w:t>
      </w:r>
      <w:r>
        <w:rPr>
          <w:rFonts w:hint="default" w:ascii="Times New Roman" w:hAnsi="Times New Roman" w:eastAsia="仿宋_GB2312" w:cs="Times New Roman"/>
          <w:sz w:val="32"/>
          <w:szCs w:val="32"/>
          <w:lang w:val="en-US" w:eastAsia="zh-CN"/>
        </w:rPr>
        <w:t>健康城镇建设和</w:t>
      </w:r>
      <w:r>
        <w:rPr>
          <w:rFonts w:hint="default" w:ascii="Times New Roman" w:hAnsi="Times New Roman" w:eastAsia="仿宋_GB2312" w:cs="Times New Roman"/>
          <w:sz w:val="32"/>
          <w:szCs w:val="32"/>
        </w:rPr>
        <w:t>爱国卫生运动，完善全民健身公共服务体系，加强慢性病综合防控和健康管理。</w:t>
      </w:r>
    </w:p>
    <w:p w14:paraId="3F1A6FCB">
      <w:pPr>
        <w:overflowPunct w:val="0"/>
        <w:spacing w:after="156" w:afterLines="5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建设紧密型县域医共体。</w:t>
      </w:r>
      <w:r>
        <w:rPr>
          <w:rFonts w:hint="default" w:ascii="Times New Roman" w:hAnsi="Times New Roman" w:eastAsia="仿宋_GB2312" w:cs="Times New Roman"/>
          <w:sz w:val="32"/>
          <w:szCs w:val="32"/>
        </w:rPr>
        <w:t>聚焦“服务共同体、责任共同体、利益共同体、管理共同体、发展共同体”目标，</w:t>
      </w:r>
      <w:r>
        <w:rPr>
          <w:rFonts w:hint="default" w:ascii="Times New Roman" w:hAnsi="Times New Roman" w:eastAsia="仿宋_GB2312" w:cs="Times New Roman"/>
          <w:sz w:val="31"/>
          <w:szCs w:val="31"/>
        </w:rPr>
        <w:t>依托医共体管理片区牵头医院带动基层医疗机构全面提升防病治病和健康管理能力</w:t>
      </w:r>
      <w:r>
        <w:rPr>
          <w:rFonts w:hint="default" w:ascii="Times New Roman" w:hAnsi="Times New Roman" w:eastAsia="仿宋_GB2312" w:cs="Times New Roman"/>
          <w:sz w:val="32"/>
          <w:szCs w:val="32"/>
        </w:rPr>
        <w:t>，完善医共体运行管理机制，推动建立资源共享与临床服务中心。建立全市妇幼、康复、精神心理、老龄健康服务体系，推进区镇公立医院“一院多品”错位发展，构建优质高效的整合型医疗卫生服务体系。以医共体建设为抓手，做实分级诊疗体系，推动以人员、技术、服务、管理为主的优质资源下沉，实现“小病不出社区、大病及时转诊、康复回社区”的县域就医新格局。</w:t>
      </w:r>
    </w:p>
    <w:tbl>
      <w:tblPr>
        <w:tblStyle w:val="19"/>
        <w:tblW w:w="8522" w:type="dxa"/>
        <w:jc w:val="center"/>
        <w:tblBorders>
          <w:top w:val="single" w:color="auto" w:sz="12" w:space="0"/>
          <w:left w:val="single" w:color="auto" w:sz="12" w:space="0"/>
          <w:bottom w:val="single" w:color="auto" w:sz="12" w:space="0"/>
          <w:right w:val="single" w:color="auto" w:sz="12" w:space="0"/>
          <w:insideH w:val="single" w:color="auto" w:sz="2" w:space="0"/>
          <w:insideV w:val="outset" w:color="auto" w:sz="6" w:space="0"/>
        </w:tblBorders>
        <w:tblLayout w:type="fixed"/>
        <w:tblCellMar>
          <w:top w:w="0" w:type="dxa"/>
          <w:left w:w="108" w:type="dxa"/>
          <w:bottom w:w="0" w:type="dxa"/>
          <w:right w:w="108" w:type="dxa"/>
        </w:tblCellMar>
      </w:tblPr>
      <w:tblGrid>
        <w:gridCol w:w="8522"/>
      </w:tblGrid>
      <w:tr w14:paraId="0773C8BD">
        <w:tblPrEx>
          <w:tblBorders>
            <w:top w:val="single" w:color="auto" w:sz="12" w:space="0"/>
            <w:left w:val="single" w:color="auto" w:sz="12" w:space="0"/>
            <w:bottom w:val="single" w:color="auto" w:sz="12" w:space="0"/>
            <w:right w:val="single" w:color="auto" w:sz="12" w:space="0"/>
            <w:insideH w:val="single" w:color="auto" w:sz="2" w:space="0"/>
            <w:insideV w:val="outset" w:color="auto" w:sz="6" w:space="0"/>
          </w:tblBorders>
          <w:tblCellMar>
            <w:top w:w="0" w:type="dxa"/>
            <w:left w:w="108" w:type="dxa"/>
            <w:bottom w:w="0" w:type="dxa"/>
            <w:right w:w="108" w:type="dxa"/>
          </w:tblCellMar>
        </w:tblPrEx>
        <w:trPr>
          <w:trHeight w:val="4365" w:hRule="atLeast"/>
          <w:jc w:val="center"/>
        </w:trPr>
        <w:tc>
          <w:tcPr>
            <w:tcW w:w="8522" w:type="dxa"/>
            <w:tcBorders>
              <w:top w:val="single" w:color="auto" w:sz="12" w:space="0"/>
              <w:left w:val="single" w:color="auto" w:sz="12" w:space="0"/>
              <w:bottom w:val="single" w:color="auto" w:sz="12" w:space="0"/>
              <w:right w:val="single" w:color="auto" w:sz="12" w:space="0"/>
            </w:tcBorders>
            <w:vAlign w:val="center"/>
          </w:tcPr>
          <w:p w14:paraId="1E0550B9">
            <w:pPr>
              <w:widowControl/>
              <w:overflowPunct w:val="0"/>
              <w:autoSpaceDE w:val="0"/>
              <w:autoSpaceDN w:val="0"/>
              <w:adjustRightInd w:val="0"/>
              <w:snapToGrid w:val="0"/>
              <w:spacing w:after="156" w:afterLines="50" w:line="600" w:lineRule="exact"/>
              <w:jc w:val="center"/>
              <w:rPr>
                <w:rFonts w:hint="default" w:ascii="Times New Roman" w:hAnsi="Times New Roman" w:eastAsia="黑体" w:cs="Times New Roman"/>
                <w:spacing w:val="-1"/>
                <w:kern w:val="0"/>
                <w:sz w:val="28"/>
                <w:szCs w:val="28"/>
                <w:lang w:bidi="ar"/>
              </w:rPr>
            </w:pPr>
            <w:r>
              <w:rPr>
                <w:rFonts w:hint="default" w:ascii="Times New Roman" w:hAnsi="Times New Roman" w:eastAsia="黑体" w:cs="Times New Roman"/>
                <w:spacing w:val="-1"/>
                <w:kern w:val="0"/>
                <w:sz w:val="28"/>
                <w:szCs w:val="28"/>
                <w:lang w:bidi="ar"/>
              </w:rPr>
              <w:t xml:space="preserve">专栏 </w:t>
            </w:r>
            <w:r>
              <w:rPr>
                <w:rFonts w:hint="default" w:ascii="Times New Roman" w:hAnsi="Times New Roman" w:eastAsia="黑体" w:cs="Times New Roman"/>
                <w:spacing w:val="-1"/>
                <w:kern w:val="0"/>
                <w:sz w:val="28"/>
                <w:szCs w:val="28"/>
                <w:lang w:val="en-US" w:eastAsia="zh-CN" w:bidi="ar"/>
              </w:rPr>
              <w:t>5</w:t>
            </w:r>
            <w:r>
              <w:rPr>
                <w:rFonts w:hint="default" w:ascii="Times New Roman" w:hAnsi="Times New Roman" w:eastAsia="黑体" w:cs="Times New Roman"/>
                <w:spacing w:val="-1"/>
                <w:kern w:val="0"/>
                <w:sz w:val="28"/>
                <w:szCs w:val="28"/>
                <w:lang w:bidi="ar"/>
              </w:rPr>
              <w:t>：昆山市数智医共体项目</w:t>
            </w:r>
          </w:p>
          <w:p w14:paraId="17A2523A">
            <w:pPr>
              <w:widowControl/>
              <w:overflowPunct w:val="0"/>
              <w:adjustRightInd w:val="0"/>
              <w:snapToGrid w:val="0"/>
              <w:spacing w:after="0" w:line="320" w:lineRule="exact"/>
              <w:ind w:firstLine="414"/>
              <w:jc w:val="both"/>
              <w:rPr>
                <w:rFonts w:hint="default" w:ascii="Times New Roman" w:hAnsi="Times New Roman" w:eastAsia="宋体" w:cs="Times New Roman"/>
                <w:spacing w:val="-4"/>
                <w:kern w:val="0"/>
                <w:sz w:val="24"/>
                <w:lang w:bidi="ar"/>
              </w:rPr>
            </w:pPr>
            <w:r>
              <w:rPr>
                <w:rFonts w:hint="default" w:ascii="Times New Roman" w:hAnsi="Times New Roman" w:eastAsia="楷体_GB2312" w:cs="Times New Roman"/>
                <w:b/>
                <w:bCs/>
                <w:spacing w:val="-4"/>
                <w:kern w:val="0"/>
                <w:sz w:val="24"/>
                <w:lang w:bidi="ar"/>
              </w:rPr>
              <w:t>建设昆山市数智医共体核心平台。</w:t>
            </w:r>
            <w:r>
              <w:rPr>
                <w:rFonts w:hint="default" w:ascii="Times New Roman" w:hAnsi="Times New Roman" w:eastAsia="宋体" w:cs="Times New Roman"/>
                <w:spacing w:val="-4"/>
                <w:kern w:val="0"/>
                <w:sz w:val="24"/>
                <w:lang w:bidi="ar"/>
              </w:rPr>
              <w:t>以现有昆山市全民健康信息平台为基础，构建“1+1+11+N”的顶层架构（1个统一服务门户、1个数据中心、11个应用中心、N个特色业务场景），推动跨机构数据整合，逐步实现与国家省市四级平台贯通。</w:t>
            </w:r>
          </w:p>
          <w:p w14:paraId="714B3529">
            <w:pPr>
              <w:widowControl/>
              <w:overflowPunct w:val="0"/>
              <w:adjustRightInd w:val="0"/>
              <w:snapToGrid w:val="0"/>
              <w:spacing w:after="0" w:line="320" w:lineRule="exact"/>
              <w:ind w:firstLine="414"/>
              <w:jc w:val="both"/>
              <w:rPr>
                <w:rFonts w:hint="default" w:ascii="Times New Roman" w:hAnsi="Times New Roman" w:eastAsia="宋体" w:cs="Times New Roman"/>
                <w:spacing w:val="-4"/>
                <w:kern w:val="0"/>
                <w:sz w:val="24"/>
                <w:lang w:bidi="ar"/>
              </w:rPr>
            </w:pPr>
            <w:r>
              <w:rPr>
                <w:rFonts w:hint="default" w:ascii="Times New Roman" w:hAnsi="Times New Roman" w:eastAsia="楷体_GB2312" w:cs="Times New Roman"/>
                <w:b/>
                <w:bCs/>
                <w:spacing w:val="-4"/>
                <w:kern w:val="0"/>
                <w:sz w:val="24"/>
                <w:lang w:bidi="ar"/>
              </w:rPr>
              <w:t>建设两大牵头医院数字医院。</w:t>
            </w:r>
            <w:r>
              <w:rPr>
                <w:rFonts w:hint="default" w:ascii="Times New Roman" w:hAnsi="Times New Roman" w:eastAsia="宋体" w:cs="Times New Roman"/>
                <w:spacing w:val="-4"/>
                <w:kern w:val="0"/>
                <w:sz w:val="24"/>
                <w:lang w:bidi="ar"/>
              </w:rPr>
              <w:t>以大数据为底座，AI为动力，电子病历6级、互联互通5级、智慧服务3级水平为目标，完善医院业务信息系统，推动应用适配改造、数据迁移整合，实现全院信创化改造，建设集成微服务、云架构、全信创的数字化医院。</w:t>
            </w:r>
          </w:p>
          <w:p w14:paraId="534187D6">
            <w:pPr>
              <w:widowControl/>
              <w:overflowPunct w:val="0"/>
              <w:adjustRightInd w:val="0"/>
              <w:snapToGrid w:val="0"/>
              <w:spacing w:after="0" w:line="320" w:lineRule="exact"/>
              <w:ind w:firstLine="414"/>
              <w:jc w:val="both"/>
              <w:rPr>
                <w:rFonts w:hint="default" w:ascii="Times New Roman" w:hAnsi="Times New Roman" w:eastAsia="宋体" w:cs="Times New Roman"/>
                <w:kern w:val="0"/>
                <w:sz w:val="24"/>
                <w:lang w:bidi="ar"/>
              </w:rPr>
            </w:pPr>
            <w:r>
              <w:rPr>
                <w:rFonts w:hint="default" w:ascii="Times New Roman" w:hAnsi="Times New Roman" w:eastAsia="楷体_GB2312" w:cs="Times New Roman"/>
                <w:b/>
                <w:bCs/>
                <w:spacing w:val="-4"/>
                <w:kern w:val="0"/>
                <w:sz w:val="24"/>
                <w:lang w:bidi="ar"/>
              </w:rPr>
              <w:t>建设医共体数字成员单位。</w:t>
            </w:r>
            <w:r>
              <w:rPr>
                <w:rFonts w:hint="default" w:ascii="Times New Roman" w:hAnsi="Times New Roman" w:eastAsia="宋体" w:cs="Times New Roman"/>
                <w:spacing w:val="-4"/>
                <w:kern w:val="0"/>
                <w:sz w:val="24"/>
                <w:lang w:bidi="ar"/>
              </w:rPr>
              <w:t>对各医共体成员单位现使用的相关软件系统、硬件与网络资源等进行梳理评估，实现区镇医疗机构信息系统与医共体各业务中心、数据中心及医共体平台标准化互联互通，建设成数据、业务、管理统一的数智医共体。</w:t>
            </w:r>
          </w:p>
        </w:tc>
      </w:tr>
    </w:tbl>
    <w:p w14:paraId="59D8BF85">
      <w:pPr>
        <w:overflowPunct w:val="0"/>
        <w:spacing w:before="156" w:beforeLines="50"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提升全周期健康服务能级。</w:t>
      </w:r>
      <w:r>
        <w:rPr>
          <w:rFonts w:hint="default" w:ascii="Times New Roman" w:hAnsi="Times New Roman" w:eastAsia="仿宋_GB2312" w:cs="Times New Roman"/>
          <w:sz w:val="32"/>
          <w:szCs w:val="32"/>
        </w:rPr>
        <w:t>深化县域医改，推进以公益性为导向的公立医院改革。健全医疗、医保、医药协同发展和治理机制，实现从“以治病为中心”向“以健康为中心”转变。深化健康中国行动，打响“小鹿有约”健康科普品牌，逐步提升居民健康素养。做强家庭医生网格化管理，</w:t>
      </w:r>
      <w:r>
        <w:rPr>
          <w:rFonts w:hint="default" w:ascii="Times New Roman" w:hAnsi="Times New Roman" w:eastAsia="仿宋_GB2312" w:cs="Times New Roman"/>
          <w:sz w:val="31"/>
          <w:szCs w:val="31"/>
        </w:rPr>
        <w:t>推行巡回医疗和移动医疗</w:t>
      </w:r>
      <w:r>
        <w:rPr>
          <w:rFonts w:hint="default" w:ascii="Times New Roman" w:hAnsi="Times New Roman" w:eastAsia="仿宋_GB2312" w:cs="Times New Roman"/>
          <w:sz w:val="32"/>
          <w:szCs w:val="32"/>
        </w:rPr>
        <w:t>，提升百姓就医连续性和体验感。以心脑血管疾病、癌症、糖尿病等慢性病作为攻关和突破重点，健全早筛早诊早治早康复的服务体系，建设肿瘤防治中心、慢病防治中心、跨院多学科诊疗中心。弘扬“娄江医学”中医药文化和时代价值，全面促进中西医协同发展。</w:t>
      </w:r>
    </w:p>
    <w:p w14:paraId="64ACE358">
      <w:pPr>
        <w:pStyle w:val="32"/>
        <w:overflowPunct w:val="0"/>
        <w:spacing w:after="0" w:line="600" w:lineRule="exact"/>
        <w:ind w:firstLine="64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深化医养融合发展。</w:t>
      </w:r>
      <w:r>
        <w:rPr>
          <w:rFonts w:hint="default" w:ascii="Times New Roman" w:hAnsi="Times New Roman" w:eastAsia="仿宋_GB2312" w:cs="Times New Roman"/>
          <w:sz w:val="32"/>
          <w:szCs w:val="32"/>
        </w:rPr>
        <w:t>丰富“昆尚颐养”品牌，推动基层医疗卫生服务机构与养老服务设施毗邻建设、资源共享，建立医、康、护、养衔接机制。用好长期护理保险国家试点机遇，大力推进长期护理保险，健全失能失智医疗照护体系，扩大康复护理和安宁疗护等服务覆盖面。强化家庭医生对老年人群个性化签约服务，优化基本公共卫生服务供给，满足居家医疗照护需求。以锦溪人民医院为试点，支持有条件的基层医疗卫生服务机构开设长期护理专区。培养兼具医疗和养老知识的复合型人才队伍，优化养老护理员队伍年龄结构。探索“物业+养老”等模式，打造社区养老服务阵地，提升区域性养老服务中心智慧化水平，推进智慧养老院建设。</w:t>
      </w:r>
    </w:p>
    <w:p w14:paraId="19DD4E0E">
      <w:pPr>
        <w:overflowPunct w:val="0"/>
        <w:spacing w:after="0" w:line="600" w:lineRule="exact"/>
        <w:jc w:val="center"/>
        <w:outlineLvl w:val="2"/>
        <w:rPr>
          <w:rFonts w:hint="default" w:ascii="Times New Roman" w:hAnsi="Times New Roman" w:eastAsia="楷体" w:cs="Times New Roman"/>
          <w:sz w:val="32"/>
          <w:szCs w:val="32"/>
        </w:rPr>
      </w:pPr>
      <w:bookmarkStart w:id="646" w:name="_Toc30089"/>
      <w:bookmarkStart w:id="647" w:name="_Toc26034"/>
      <w:bookmarkStart w:id="648" w:name="_Toc8122"/>
      <w:r>
        <w:rPr>
          <w:rFonts w:hint="default" w:ascii="Times New Roman" w:hAnsi="Times New Roman" w:eastAsia="楷体" w:cs="Times New Roman"/>
          <w:sz w:val="32"/>
          <w:szCs w:val="32"/>
        </w:rPr>
        <w:t>第五节 提升养老服务品质</w:t>
      </w:r>
      <w:bookmarkEnd w:id="646"/>
      <w:bookmarkEnd w:id="647"/>
      <w:bookmarkEnd w:id="648"/>
    </w:p>
    <w:p w14:paraId="52890411">
      <w:pPr>
        <w:overflowPunct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统筹提升养老设施效能。</w:t>
      </w:r>
      <w:r>
        <w:rPr>
          <w:rFonts w:hint="default" w:ascii="Times New Roman" w:hAnsi="Times New Roman" w:eastAsia="仿宋_GB2312" w:cs="Times New Roman"/>
          <w:sz w:val="32"/>
          <w:szCs w:val="32"/>
        </w:rPr>
        <w:t>推动“建、管、用”全链条发力，按照国土空间规划刚性预留社区养老服务设施用地，严格落实小区配建标准。新建养老设施统一纳入智慧养老平台。实行养老机构等级评定+社区养老服务星级评定机制，提升养老服务规范化水平。整合民政、卫健、医保资源，扩大养老机构护理型床位供给。推进家庭养老床位建设，丰富日间照料中心服务内涵，推动悦龄食堂扩面提质。到2030年，新增悦龄食堂100家以上，改建村（社区）日间照料中心20家。</w:t>
      </w:r>
    </w:p>
    <w:p w14:paraId="3A797A96">
      <w:pPr>
        <w:overflowPunct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推动养老服务多元化供给。</w:t>
      </w:r>
      <w:r>
        <w:rPr>
          <w:rFonts w:hint="default" w:ascii="Times New Roman" w:hAnsi="Times New Roman" w:eastAsia="仿宋_GB2312" w:cs="Times New Roman"/>
          <w:sz w:val="32"/>
          <w:szCs w:val="32"/>
        </w:rPr>
        <w:t>建立兜底性、普惠性、市场化三类养老机构清单，落实特困、失能、独居老年人政府购买服务，开展居家养老普惠型服务，探索发行养老服务消费券，引导企业提供助餐、助浴、助行套餐。鼓励社会力量共同参与将闲置学校、厂房改造成社区嵌入式养老设施，推动连锁品牌运营。发展农村互助养老，依托村集体用房设立睦邻点。推动各医疗卫生机构为居家老年人提供个性化医疗服务，将上门医疗服务向养老机构拓展。</w:t>
      </w:r>
    </w:p>
    <w:p w14:paraId="2EB8671B">
      <w:pPr>
        <w:overflowPunct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打造银发经济发展高地。</w:t>
      </w:r>
      <w:r>
        <w:rPr>
          <w:rFonts w:hint="default" w:ascii="Times New Roman" w:hAnsi="Times New Roman" w:eastAsia="仿宋_GB2312" w:cs="Times New Roman"/>
          <w:sz w:val="32"/>
          <w:szCs w:val="32"/>
        </w:rPr>
        <w:t>发挥昆山产业优势，引导企业开发智能健康设备、抗衰老保健品，前瞻布局养老机器人，满足老年人健康管理和生活服务需求。依托智慧养老服务中心、银发驿站、养老机构、日间照料中心等阵地，开发银发经济应用场景，探索建立产品展示中心，为企业提供产品推广平台。整合水乡资源，打造长三角康养旅居目的地，开发“民宿+护理”“研学+康养”线路。探索建立老年用品检测中心、直播电商基地，推动线上线下联动销售，形成辐射长三角的银发经济特色示范城市。</w:t>
      </w:r>
    </w:p>
    <w:p w14:paraId="3BB1EADB">
      <w:pPr>
        <w:pStyle w:val="3"/>
        <w:overflowPunct w:val="0"/>
        <w:spacing w:before="156" w:beforeLines="50" w:after="156" w:afterLines="50" w:line="600" w:lineRule="exact"/>
        <w:ind w:firstLine="0" w:firstLineChars="0"/>
        <w:jc w:val="center"/>
        <w:rPr>
          <w:rFonts w:hint="default" w:ascii="Times New Roman" w:hAnsi="Times New Roman" w:eastAsia="黑体" w:cs="Times New Roman"/>
          <w:b w:val="0"/>
          <w:bCs w:val="0"/>
        </w:rPr>
      </w:pPr>
      <w:bookmarkStart w:id="649" w:name="_Toc28146"/>
      <w:bookmarkStart w:id="650" w:name="_Toc10228"/>
      <w:bookmarkStart w:id="651" w:name="_Toc16112"/>
      <w:r>
        <w:rPr>
          <w:rFonts w:hint="default" w:ascii="Times New Roman" w:hAnsi="Times New Roman" w:eastAsia="黑体" w:cs="Times New Roman"/>
          <w:b w:val="0"/>
          <w:bCs w:val="0"/>
        </w:rPr>
        <w:t>第十五章 育成开放包容的现代人文高地</w:t>
      </w:r>
      <w:bookmarkEnd w:id="649"/>
      <w:bookmarkEnd w:id="650"/>
      <w:bookmarkEnd w:id="651"/>
    </w:p>
    <w:p w14:paraId="56B17841">
      <w:pPr>
        <w:overflowPunct w:val="0"/>
        <w:spacing w:after="0" w:line="600" w:lineRule="exact"/>
        <w:ind w:firstLine="640" w:firstLineChars="200"/>
        <w:jc w:val="both"/>
        <w:rPr>
          <w:rFonts w:hint="default" w:ascii="Times New Roman" w:hAnsi="Times New Roman" w:eastAsia="黑体" w:cs="Times New Roman"/>
          <w:sz w:val="32"/>
          <w:szCs w:val="32"/>
        </w:rPr>
      </w:pPr>
      <w:r>
        <w:rPr>
          <w:rFonts w:hint="default" w:ascii="Times New Roman" w:hAnsi="Times New Roman" w:eastAsia="仿宋_GB2312" w:cs="Times New Roman"/>
          <w:sz w:val="32"/>
          <w:szCs w:val="32"/>
        </w:rPr>
        <w:t>发扬新时代“昆山之路”精神，推进文化强市“833”计划，坚持</w:t>
      </w:r>
      <w:r>
        <w:rPr>
          <w:rFonts w:hint="default" w:ascii="Times New Roman" w:hAnsi="Times New Roman" w:eastAsia="仿宋_GB2312" w:cs="Times New Roman"/>
          <w:color w:val="000000"/>
          <w:sz w:val="32"/>
          <w:szCs w:val="32"/>
        </w:rPr>
        <w:t>优秀传统文化创造性转化、创新性发展，促进传统文化与现代文明互促互进、相伴相生，</w:t>
      </w:r>
      <w:r>
        <w:rPr>
          <w:rFonts w:hint="default" w:ascii="Times New Roman" w:hAnsi="Times New Roman" w:eastAsia="仿宋_GB2312" w:cs="Times New Roman"/>
          <w:sz w:val="32"/>
          <w:szCs w:val="32"/>
        </w:rPr>
        <w:t>推动文化事业繁荣发展、精神文明高质量建设，为争当中国式现代化探索者引领者凝聚强大精神动能。</w:t>
      </w:r>
    </w:p>
    <w:p w14:paraId="6CAD7C64">
      <w:pPr>
        <w:overflowPunct w:val="0"/>
        <w:spacing w:after="0" w:line="600" w:lineRule="exact"/>
        <w:jc w:val="center"/>
        <w:outlineLvl w:val="2"/>
        <w:rPr>
          <w:rFonts w:hint="default" w:ascii="Times New Roman" w:hAnsi="Times New Roman" w:eastAsia="楷体" w:cs="Times New Roman"/>
          <w:sz w:val="32"/>
          <w:szCs w:val="32"/>
        </w:rPr>
      </w:pPr>
      <w:bookmarkStart w:id="652" w:name="_Toc28770"/>
      <w:bookmarkStart w:id="653" w:name="_Toc29744"/>
      <w:bookmarkStart w:id="654" w:name="_Toc5266"/>
      <w:r>
        <w:rPr>
          <w:rFonts w:hint="default" w:ascii="Times New Roman" w:hAnsi="Times New Roman" w:eastAsia="楷体" w:cs="Times New Roman"/>
          <w:sz w:val="32"/>
          <w:szCs w:val="32"/>
        </w:rPr>
        <w:t>第一节 弘扬和践行社会主义核心价值观</w:t>
      </w:r>
      <w:bookmarkEnd w:id="652"/>
      <w:bookmarkEnd w:id="653"/>
      <w:bookmarkEnd w:id="654"/>
    </w:p>
    <w:p w14:paraId="366D3781">
      <w:pPr>
        <w:widowControl/>
        <w:overflowPunct w:val="0"/>
        <w:spacing w:after="0"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大力加强理论学习宣传。</w:t>
      </w:r>
      <w:r>
        <w:rPr>
          <w:rFonts w:hint="default" w:ascii="Times New Roman" w:hAnsi="Times New Roman" w:eastAsia="仿宋_GB2312" w:cs="Times New Roman"/>
          <w:sz w:val="32"/>
          <w:szCs w:val="32"/>
        </w:rPr>
        <w:t>深化党的创新理论学习和宣传教育，坚持不懈用习近平新时代中国特色社会主义思想凝心铸魂。高水平建设江苏省习近平新时代中国特色社会主义思想研究中心昆山市实践调研基地，擦亮“鹿城飞燕”理论宣讲品牌。深化爱国主义、集体主义、社会主义教育，树立正确的历史观、民族观、国家观、文化观。把社会主义核心价值观贯穿于基础教育、高等教育、职业技术教育、成人教育各领域，加强大中小学思政课一体化建设，培养德智体美劳全面发展的社会主义建设者和接班人。</w:t>
      </w:r>
    </w:p>
    <w:p w14:paraId="7699139C">
      <w:pPr>
        <w:widowControl/>
        <w:overflowPunct w:val="0"/>
        <w:spacing w:after="0" w:line="600" w:lineRule="exact"/>
        <w:ind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楷体" w:cs="Times New Roman"/>
          <w:sz w:val="32"/>
          <w:szCs w:val="32"/>
        </w:rPr>
        <w:t>传承弘扬新时代“昆山之路”。</w:t>
      </w:r>
      <w:r>
        <w:rPr>
          <w:rFonts w:hint="default" w:ascii="Times New Roman" w:hAnsi="Times New Roman" w:eastAsia="仿宋_GB2312" w:cs="Times New Roman"/>
          <w:kern w:val="0"/>
          <w:sz w:val="32"/>
          <w:szCs w:val="32"/>
        </w:rPr>
        <w:t>发挥“敢闯敢试”胆识气魄，弘扬新时代“昆山之路”精神，为江苏省乃至全国改革探路。发挥“唯实唯干”硬核作风，将精神内核融入各项载体和工作制度，实现精神传承的系统化和常态化。发挥“奋斗奋进”拼搏劲头，主动与先进地区、国际一流对标，勇于打破“天花板”。发挥“创新创优”价值追求，全面推进思维创新、理念创新、路径创新、产业创新、管理创新、机制创新。激励全社会在“昆山之路”精神新实践中开拓创新、担当作为，挖掘传扬“昆</w:t>
      </w:r>
      <w:r>
        <w:rPr>
          <w:rFonts w:hint="default" w:ascii="Times New Roman" w:hAnsi="Times New Roman" w:eastAsia="仿宋_GB2312" w:cs="Times New Roman"/>
          <w:spacing w:val="-6"/>
          <w:kern w:val="0"/>
          <w:sz w:val="32"/>
          <w:szCs w:val="32"/>
        </w:rPr>
        <w:t>山之路”新成效新作为，鼓励创作更多反映“昆山之路”精神的文艺作品，持续增强“昆山之路”精神引领力、感召力、凝聚力。</w:t>
      </w:r>
    </w:p>
    <w:p w14:paraId="41310FA1">
      <w:pPr>
        <w:overflowPunct w:val="0"/>
        <w:spacing w:after="0" w:line="600" w:lineRule="exact"/>
        <w:ind w:firstLine="640" w:firstLineChars="200"/>
        <w:jc w:val="both"/>
        <w:rPr>
          <w:rFonts w:hint="default" w:ascii="Times New Roman" w:hAnsi="Times New Roman" w:eastAsia="仿宋_GB2312" w:cs="Times New Roman"/>
          <w:color w:val="000000"/>
          <w:sz w:val="32"/>
          <w:szCs w:val="32"/>
        </w:rPr>
      </w:pPr>
      <w:r>
        <w:rPr>
          <w:rFonts w:hint="default" w:ascii="Times New Roman" w:hAnsi="Times New Roman" w:eastAsia="楷体" w:cs="Times New Roman"/>
          <w:sz w:val="32"/>
          <w:szCs w:val="32"/>
        </w:rPr>
        <w:t>推进城乡精神文明建设。</w:t>
      </w:r>
      <w:r>
        <w:rPr>
          <w:rFonts w:hint="default" w:ascii="Times New Roman" w:hAnsi="Times New Roman" w:eastAsia="仿宋_GB2312" w:cs="Times New Roman"/>
          <w:color w:val="000000"/>
          <w:sz w:val="32"/>
          <w:szCs w:val="32"/>
        </w:rPr>
        <w:t>瞄准建设崇德向善的文明城市，更加注重以文化人、以文育人，深入推进“文润昆山、你我同行”文明行为倡导，形成与现代化人民城市相适应的思想观念、文明风尚、行为规范，提高市民文明素质，塑造彰显文化底蕴和独特气质的城市精神。深入挖掘、继承、创新优秀传统乡土文化，弘扬新风正气，推进移风易俗，培育文明乡风、良好家风、淳朴民风。深化拓展新时代文明实践中心建设，以群众需求为导向，整合多方资源、聚合多彩活动、融合多元功能，打造新时代文明实践体系，在涵育文明风尚中持续增强市民认同感和归属感。</w:t>
      </w:r>
      <w:r>
        <w:rPr>
          <w:rFonts w:hint="default" w:ascii="Times New Roman" w:hAnsi="Times New Roman" w:eastAsia="仿宋_GB2312" w:cs="Times New Roman"/>
          <w:color w:val="000000"/>
          <w:sz w:val="32"/>
          <w:szCs w:val="32"/>
          <w:lang w:bidi="ar"/>
        </w:rPr>
        <w:t>加强和改进未成年人思想道德建设，推进未成年人健康成长指导中心实体化、专业化、集成化运行，擦亮“向阳花开”工作品牌，打造“鹿萌”童享友好街区等“五育”体验式场景，护航未成年人健康快乐成长。</w:t>
      </w:r>
    </w:p>
    <w:p w14:paraId="11BFC9B0">
      <w:pPr>
        <w:overflowPunct w:val="0"/>
        <w:spacing w:after="0" w:line="600" w:lineRule="exact"/>
        <w:jc w:val="center"/>
        <w:outlineLvl w:val="2"/>
        <w:rPr>
          <w:rFonts w:hint="default" w:ascii="Times New Roman" w:hAnsi="Times New Roman" w:eastAsia="楷体" w:cs="Times New Roman"/>
          <w:sz w:val="32"/>
          <w:szCs w:val="32"/>
        </w:rPr>
      </w:pPr>
      <w:bookmarkStart w:id="655" w:name="_Toc15365"/>
      <w:bookmarkStart w:id="656" w:name="_Toc29813"/>
      <w:bookmarkStart w:id="657" w:name="_Toc5563"/>
      <w:r>
        <w:rPr>
          <w:rFonts w:hint="default" w:ascii="Times New Roman" w:hAnsi="Times New Roman" w:eastAsia="楷体" w:cs="Times New Roman"/>
          <w:sz w:val="32"/>
          <w:szCs w:val="32"/>
        </w:rPr>
        <w:t>第二节 活化利用“江南韵”传统文化</w:t>
      </w:r>
      <w:bookmarkEnd w:id="655"/>
      <w:bookmarkEnd w:id="656"/>
      <w:bookmarkEnd w:id="657"/>
    </w:p>
    <w:p w14:paraId="7E829566">
      <w:pPr>
        <w:overflowPunct w:val="0"/>
        <w:spacing w:after="0" w:line="600" w:lineRule="exact"/>
        <w:ind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楷体" w:cs="Times New Roman"/>
          <w:sz w:val="32"/>
          <w:szCs w:val="32"/>
        </w:rPr>
        <w:t>建设戏曲文化名城。</w:t>
      </w:r>
      <w:r>
        <w:rPr>
          <w:rFonts w:hint="default" w:ascii="Times New Roman" w:hAnsi="Times New Roman" w:eastAsia="仿宋_GB2312" w:cs="Times New Roman"/>
          <w:bCs/>
          <w:kern w:val="0"/>
          <w:sz w:val="32"/>
          <w:szCs w:val="32"/>
        </w:rPr>
        <w:t>构建“昆曲引领、百戏共生、文旅融合、全民共享”戏曲发展生态，制定实施戏曲百戏（昆山）盛典六年行动计划，探索“百戏+”融合发展模式，打造全国戏曲传承发展金字品牌。丰富昆曲文化展演体系，围绕特色文化阵地，打响“昆曲回家”“我们有戏”“良辰雅集”特色品牌。拓展昆曲文化传播空间，布局一批昆曲主题民宿、昆曲阅读空间。实施“昆曲四进”工程，每年开展300场社区、校园普及活动。深化戏曲百戏博物馆昆曲主题展内涵，策划推出昆曲主题常设展。放大戏曲片区与百戏盛典联动效应，加快布局“昆曲驿站”。</w:t>
      </w:r>
      <w:r>
        <w:rPr>
          <w:rFonts w:hint="default" w:ascii="Times New Roman" w:hAnsi="Times New Roman" w:eastAsia="仿宋_GB2312" w:cs="Times New Roman"/>
          <w:kern w:val="0"/>
          <w:sz w:val="32"/>
          <w:szCs w:val="32"/>
        </w:rPr>
        <w:t>完善昆曲人才培养体系，引进高层次昆曲专业表演人才，强化“小昆班”建设。加强昆山地域文化谱系研究，积极申报档案文化遗产，健全文化保护体系，打造“江南文化体验长廊”。</w:t>
      </w:r>
    </w:p>
    <w:tbl>
      <w:tblPr>
        <w:tblStyle w:val="19"/>
        <w:tblW w:w="8277" w:type="dxa"/>
        <w:jc w:val="center"/>
        <w:tblBorders>
          <w:top w:val="single" w:color="auto" w:sz="12" w:space="0"/>
          <w:left w:val="single" w:color="auto" w:sz="12" w:space="0"/>
          <w:bottom w:val="single" w:color="auto" w:sz="12" w:space="0"/>
          <w:right w:val="single" w:color="auto" w:sz="12" w:space="0"/>
          <w:insideH w:val="single" w:color="auto" w:sz="2" w:space="0"/>
          <w:insideV w:val="none" w:color="auto" w:sz="0" w:space="0"/>
        </w:tblBorders>
        <w:tblLayout w:type="fixed"/>
        <w:tblCellMar>
          <w:top w:w="0" w:type="dxa"/>
          <w:left w:w="108" w:type="dxa"/>
          <w:bottom w:w="0" w:type="dxa"/>
          <w:right w:w="108" w:type="dxa"/>
        </w:tblCellMar>
      </w:tblPr>
      <w:tblGrid>
        <w:gridCol w:w="8277"/>
      </w:tblGrid>
      <w:tr w14:paraId="255A66FE">
        <w:tblPrEx>
          <w:tblBorders>
            <w:top w:val="single" w:color="auto" w:sz="12" w:space="0"/>
            <w:left w:val="single" w:color="auto" w:sz="12" w:space="0"/>
            <w:bottom w:val="single" w:color="auto" w:sz="12" w:space="0"/>
            <w:right w:val="single" w:color="auto" w:sz="12" w:space="0"/>
            <w:insideH w:val="single" w:color="auto" w:sz="2" w:space="0"/>
            <w:insideV w:val="none" w:color="auto" w:sz="0" w:space="0"/>
          </w:tblBorders>
          <w:tblCellMar>
            <w:top w:w="0" w:type="dxa"/>
            <w:left w:w="108" w:type="dxa"/>
            <w:bottom w:w="0" w:type="dxa"/>
            <w:right w:w="108" w:type="dxa"/>
          </w:tblCellMar>
        </w:tblPrEx>
        <w:trPr>
          <w:trHeight w:val="3853" w:hRule="atLeast"/>
          <w:jc w:val="center"/>
        </w:trPr>
        <w:tc>
          <w:tcPr>
            <w:tcW w:w="8277" w:type="dxa"/>
            <w:tcBorders>
              <w:tl2br w:val="nil"/>
              <w:tr2bl w:val="nil"/>
            </w:tcBorders>
            <w:vAlign w:val="center"/>
          </w:tcPr>
          <w:p w14:paraId="49A1D9B7">
            <w:pPr>
              <w:widowControl/>
              <w:overflowPunct w:val="0"/>
              <w:adjustRightInd w:val="0"/>
              <w:snapToGrid w:val="0"/>
              <w:spacing w:after="156" w:afterLines="50" w:line="600" w:lineRule="exact"/>
              <w:jc w:val="center"/>
              <w:textAlignment w:val="baseline"/>
              <w:rPr>
                <w:rFonts w:hint="default" w:ascii="Times New Roman" w:hAnsi="Times New Roman" w:eastAsia="黑体" w:cs="Times New Roman"/>
                <w:spacing w:val="-1"/>
                <w:sz w:val="28"/>
                <w:szCs w:val="28"/>
              </w:rPr>
            </w:pPr>
            <w:r>
              <w:rPr>
                <w:rFonts w:hint="default" w:ascii="Times New Roman" w:hAnsi="Times New Roman" w:eastAsia="黑体" w:cs="Times New Roman"/>
                <w:spacing w:val="-1"/>
                <w:sz w:val="28"/>
                <w:szCs w:val="28"/>
              </w:rPr>
              <w:t xml:space="preserve">专栏 </w:t>
            </w:r>
            <w:r>
              <w:rPr>
                <w:rFonts w:hint="default" w:ascii="Times New Roman" w:hAnsi="Times New Roman" w:eastAsia="黑体" w:cs="Times New Roman"/>
                <w:spacing w:val="-1"/>
                <w:sz w:val="28"/>
                <w:szCs w:val="28"/>
                <w:lang w:val="en-US" w:eastAsia="zh-CN"/>
              </w:rPr>
              <w:t>6</w:t>
            </w:r>
            <w:r>
              <w:rPr>
                <w:rFonts w:hint="default" w:ascii="Times New Roman" w:hAnsi="Times New Roman" w:eastAsia="黑体" w:cs="Times New Roman"/>
                <w:spacing w:val="-1"/>
                <w:sz w:val="28"/>
                <w:szCs w:val="28"/>
              </w:rPr>
              <w:t>：昆曲文化品牌矩阵</w:t>
            </w:r>
          </w:p>
          <w:p w14:paraId="576719D7">
            <w:pPr>
              <w:widowControl/>
              <w:overflowPunct w:val="0"/>
              <w:adjustRightInd w:val="0"/>
              <w:snapToGrid w:val="0"/>
              <w:spacing w:after="0" w:line="320" w:lineRule="exact"/>
              <w:ind w:firstLine="414"/>
              <w:jc w:val="both"/>
              <w:textAlignment w:val="baseline"/>
              <w:rPr>
                <w:rFonts w:hint="default" w:ascii="Times New Roman" w:hAnsi="Times New Roman" w:eastAsia="宋体" w:cs="Times New Roman"/>
                <w:spacing w:val="-4"/>
                <w:sz w:val="24"/>
              </w:rPr>
            </w:pPr>
            <w:r>
              <w:rPr>
                <w:rFonts w:hint="default" w:ascii="Times New Roman" w:hAnsi="Times New Roman" w:eastAsia="楷体_GB2312" w:cs="Times New Roman"/>
                <w:b/>
                <w:bCs/>
                <w:spacing w:val="-4"/>
                <w:sz w:val="24"/>
              </w:rPr>
              <w:t>“我们有戏”</w:t>
            </w:r>
            <w:r>
              <w:rPr>
                <w:rFonts w:hint="default" w:ascii="Times New Roman" w:hAnsi="Times New Roman" w:eastAsia="宋体" w:cs="Times New Roman"/>
                <w:spacing w:val="-4"/>
                <w:sz w:val="24"/>
              </w:rPr>
              <w:t>。以梁辰鱼昆曲剧场、昆曲文化中心、昆曲茶社三大场馆为阵地，年均推出150场主题演出，涵盖原创大戏、经典折子戏、青年演员个人专场及“一戏两版”（名家版＋青年版）创新机制，实现“周周有戏、场场不重样”。</w:t>
            </w:r>
          </w:p>
          <w:p w14:paraId="5FDDB6EF">
            <w:pPr>
              <w:widowControl/>
              <w:overflowPunct w:val="0"/>
              <w:adjustRightInd w:val="0"/>
              <w:snapToGrid w:val="0"/>
              <w:spacing w:after="0" w:line="320" w:lineRule="exact"/>
              <w:ind w:firstLine="414"/>
              <w:jc w:val="both"/>
              <w:textAlignment w:val="baseline"/>
              <w:rPr>
                <w:rFonts w:hint="default" w:ascii="Times New Roman" w:hAnsi="Times New Roman" w:eastAsia="宋体" w:cs="Times New Roman"/>
                <w:spacing w:val="-4"/>
                <w:sz w:val="24"/>
              </w:rPr>
            </w:pPr>
            <w:r>
              <w:rPr>
                <w:rFonts w:hint="default" w:ascii="Times New Roman" w:hAnsi="Times New Roman" w:eastAsia="楷体_GB2312" w:cs="Times New Roman"/>
                <w:b/>
                <w:bCs/>
                <w:spacing w:val="-4"/>
                <w:sz w:val="24"/>
              </w:rPr>
              <w:t>“良辰雅集”</w:t>
            </w:r>
            <w:r>
              <w:rPr>
                <w:rFonts w:hint="default" w:ascii="Times New Roman" w:hAnsi="Times New Roman" w:eastAsia="宋体" w:cs="Times New Roman"/>
                <w:spacing w:val="-4"/>
                <w:sz w:val="24"/>
              </w:rPr>
              <w:t>。定期固定时段在昆曲茶社等空间举行“演出＋导赏＋互动”小型沙龙，观众可近距离看戏、听讲解、学身段，成为游客“白天游景区、晚上赏昆曲”的标配体验。</w:t>
            </w:r>
          </w:p>
          <w:p w14:paraId="2C8EA10B">
            <w:pPr>
              <w:widowControl/>
              <w:overflowPunct w:val="0"/>
              <w:adjustRightInd w:val="0"/>
              <w:snapToGrid w:val="0"/>
              <w:spacing w:after="0" w:line="320" w:lineRule="exact"/>
              <w:ind w:firstLine="414"/>
              <w:jc w:val="both"/>
              <w:textAlignment w:val="baseline"/>
              <w:rPr>
                <w:rFonts w:hint="default" w:ascii="Times New Roman" w:hAnsi="Times New Roman" w:eastAsia="宋体" w:cs="Times New Roman"/>
                <w:spacing w:val="-4"/>
                <w:sz w:val="21"/>
                <w:szCs w:val="21"/>
              </w:rPr>
            </w:pPr>
            <w:r>
              <w:rPr>
                <w:rFonts w:hint="default" w:ascii="Times New Roman" w:hAnsi="Times New Roman" w:eastAsia="楷体_GB2312" w:cs="Times New Roman"/>
                <w:b/>
                <w:bCs/>
                <w:spacing w:val="-4"/>
                <w:sz w:val="24"/>
              </w:rPr>
              <w:t>“昆曲回家”</w:t>
            </w:r>
            <w:r>
              <w:rPr>
                <w:rFonts w:hint="default" w:ascii="Times New Roman" w:hAnsi="Times New Roman" w:eastAsia="宋体" w:cs="Times New Roman"/>
                <w:spacing w:val="-4"/>
                <w:sz w:val="24"/>
              </w:rPr>
              <w:t>。定期邀请全国七大昆剧院团及学术机构“回娘家”集中展演，举办学术论坛、大师班、剧目复排工作坊，既让流失在外的经典折子“回家”，也为青年人才搭建“与大师同台”的传帮带舞台，形成昆曲界年度“风向标”活动。</w:t>
            </w:r>
          </w:p>
        </w:tc>
      </w:tr>
    </w:tbl>
    <w:p w14:paraId="35D78A4F">
      <w:pPr>
        <w:pStyle w:val="32"/>
        <w:overflowPunct w:val="0"/>
        <w:spacing w:after="0" w:line="600" w:lineRule="exact"/>
        <w:ind w:firstLine="640"/>
        <w:jc w:val="both"/>
        <w:rPr>
          <w:rFonts w:hint="default" w:ascii="Times New Roman" w:hAnsi="Times New Roman" w:eastAsia="仿宋_GB2312" w:cs="Times New Roman"/>
          <w:kern w:val="0"/>
          <w:sz w:val="32"/>
          <w:szCs w:val="32"/>
        </w:rPr>
      </w:pPr>
      <w:r>
        <w:rPr>
          <w:rFonts w:hint="default" w:ascii="Times New Roman" w:hAnsi="Times New Roman" w:eastAsia="楷体" w:cs="Times New Roman"/>
          <w:sz w:val="32"/>
          <w:szCs w:val="32"/>
        </w:rPr>
        <w:t>大力弘扬先贤文化。</w:t>
      </w:r>
      <w:r>
        <w:rPr>
          <w:rFonts w:hint="default" w:ascii="Times New Roman" w:hAnsi="Times New Roman" w:eastAsia="仿宋_GB2312" w:cs="Times New Roman"/>
          <w:kern w:val="0"/>
          <w:sz w:val="32"/>
          <w:szCs w:val="32"/>
        </w:rPr>
        <w:t>传承创新发展“亭林精神”，实施文化解码与研究阐释、文化传承与主题宣教、数字赋能与文旅融合和文脉规划与国际传播工程。常态化开展“顾炎武日”，建好新时代“亭林精神”实践育人基地，开设顾炎武系列精品课程，打造“亭林治学”实践育人新范式。传承创新发展“朱柏庐”文化，形成“柏庐路</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柏庐大桥</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柏庐实验小学</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柏庐公园”文化地标带，推动《治家格言》进课堂、家训标语进街区。传承创新发展“有光”文化，运营好归有光纪念馆，发布“花桥有光”文化地图，将“有光文化”纳入全域旅游线路。</w:t>
      </w:r>
    </w:p>
    <w:p w14:paraId="2340D082">
      <w:pPr>
        <w:pStyle w:val="32"/>
        <w:overflowPunct w:val="0"/>
        <w:spacing w:after="0" w:line="600" w:lineRule="exact"/>
        <w:ind w:firstLine="640"/>
        <w:jc w:val="both"/>
        <w:rPr>
          <w:rFonts w:hint="default" w:ascii="Times New Roman" w:hAnsi="Times New Roman" w:eastAsia="仿宋_GB2312" w:cs="Times New Roman"/>
          <w:kern w:val="0"/>
          <w:sz w:val="32"/>
          <w:szCs w:val="32"/>
        </w:rPr>
      </w:pPr>
      <w:r>
        <w:rPr>
          <w:rFonts w:hint="default" w:ascii="Times New Roman" w:hAnsi="Times New Roman" w:eastAsia="楷体_GB2312" w:cs="Times New Roman"/>
          <w:kern w:val="0"/>
          <w:sz w:val="32"/>
          <w:szCs w:val="32"/>
        </w:rPr>
        <w:t>推进人文经济学研究实践。</w:t>
      </w:r>
      <w:r>
        <w:rPr>
          <w:rFonts w:hint="default" w:ascii="Times New Roman" w:hAnsi="Times New Roman" w:eastAsia="仿宋_GB2312" w:cs="Times New Roman"/>
          <w:kern w:val="0"/>
          <w:sz w:val="32"/>
          <w:szCs w:val="32"/>
        </w:rPr>
        <w:t>将“人文经济学昆山实践”研究作为理论创新主轴，构建以人文经济学研究为龙头的重大理论和实践课题研究体系，打造研究阐释、人文集聚、转化应用高地。整合政府、高校、企业研究资源，系统研究“昆山之路”蕴含的人文精神与经济逻辑互动关系，重点挖掘顾炎武、昆曲、水乡文化等地域文化基因创造性转化与创新性发展路径，从学理上总结文化与经济融合发展“昆山模式”。聚焦数字经济时代，将昆曲、顾炎武思想等超级文化IP，深度植入主导产业的品牌塑造与创新生态。</w:t>
      </w:r>
    </w:p>
    <w:p w14:paraId="31895459">
      <w:pPr>
        <w:overflowPunct w:val="0"/>
        <w:spacing w:after="0" w:line="600" w:lineRule="exact"/>
        <w:jc w:val="center"/>
        <w:outlineLvl w:val="2"/>
        <w:rPr>
          <w:rFonts w:hint="default" w:ascii="Times New Roman" w:hAnsi="Times New Roman" w:eastAsia="楷体" w:cs="Times New Roman"/>
          <w:sz w:val="32"/>
          <w:szCs w:val="32"/>
        </w:rPr>
      </w:pPr>
      <w:bookmarkStart w:id="658" w:name="_Toc25872"/>
      <w:bookmarkStart w:id="659" w:name="_Toc22122"/>
      <w:bookmarkStart w:id="660" w:name="_Toc17958"/>
      <w:r>
        <w:rPr>
          <w:rFonts w:hint="default" w:ascii="Times New Roman" w:hAnsi="Times New Roman" w:eastAsia="楷体" w:cs="Times New Roman"/>
          <w:sz w:val="32"/>
          <w:szCs w:val="32"/>
        </w:rPr>
        <w:t>第三节 优化公共文化服务体系</w:t>
      </w:r>
      <w:bookmarkEnd w:id="658"/>
      <w:bookmarkEnd w:id="659"/>
      <w:bookmarkEnd w:id="660"/>
    </w:p>
    <w:p w14:paraId="3F98EE28">
      <w:pPr>
        <w:overflowPunct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促进文艺事业繁荣。</w:t>
      </w:r>
      <w:r>
        <w:rPr>
          <w:rFonts w:hint="default" w:ascii="Times New Roman" w:hAnsi="Times New Roman" w:eastAsia="仿宋_GB2312" w:cs="Times New Roman"/>
          <w:sz w:val="32"/>
          <w:szCs w:val="32"/>
        </w:rPr>
        <w:t>坚持以人民为中心的创作导向，强化对文艺创作的服务、组织和引导，抓好现实题材、重要历史人物和事件题材、地域题材、民生题材创作生产，推出更多彰显“昆山之路”精神、江南文化神韵的扛鼎之作。坚持引育并重，发挥名家引领示范作用，激发“文艺两新”创新活力，繁荣互联网条件下新大众文艺，构建扎根实践、梯队衔接、德艺双馨的文艺人才生态。深化改革创新，优化大院大团委约创作机制、文艺大家客座制、签约制，健全重点选题策划论证机制和文化产品创作传播激励机制。加强文艺惠民，推进优质文艺资源直达基层，推动生活艺术化与艺术生活化，培育地域特色文化品牌，不断提升昆山文艺影响力。</w:t>
      </w:r>
    </w:p>
    <w:p w14:paraId="48505E64">
      <w:pPr>
        <w:overflowPunct w:val="0"/>
        <w:spacing w:after="0"/>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完善文体设施体系。</w:t>
      </w:r>
      <w:r>
        <w:rPr>
          <w:rFonts w:hint="default" w:ascii="Times New Roman" w:hAnsi="Times New Roman" w:eastAsia="仿宋_GB2312" w:cs="Times New Roman"/>
          <w:sz w:val="32"/>
          <w:szCs w:val="32"/>
        </w:rPr>
        <w:t>加快博物馆、美术馆、图书馆新馆建设运营，推动文化遗址保护，打造点线面串联的文化空间格局。提升改造侯北人美术馆、中山堂、蓬朗老街等文化建筑，新改建两岸交流纪念馆、费俊龙航天馆、叶辛故乡文学馆以及祖冲之、归有光、龚贤纪念馆。推动赵陵山良渚文化遗址保护和考古遗址公园建设，融入环太湖流域遗址保护带。构建完善“市图书（文化）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区镇文体站</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村（社区）综合性文化服务中心”体系，建好“家门口文化客厅”。建设一批体育公园、社区健身点、百姓健身房，优化全民健身设施管理，持续推动学校、企事业单位体育场地对外开放。</w:t>
      </w:r>
    </w:p>
    <w:p w14:paraId="75B2949A">
      <w:pPr>
        <w:overflowPunct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丰富基层文化生活。</w:t>
      </w:r>
      <w:r>
        <w:rPr>
          <w:rFonts w:hint="default" w:ascii="Times New Roman" w:hAnsi="Times New Roman" w:eastAsia="仿宋_GB2312" w:cs="Times New Roman"/>
          <w:sz w:val="32"/>
          <w:szCs w:val="32"/>
        </w:rPr>
        <w:t>开展群众文艺“三大行动”、琼花艺术节、戏曲周、欢乐文明百村行、群众文艺“百村行、周周演”惠民巡演，不断丰富“城市文化菜单”，每年提供文化活动超7000场。鼓励社会力量参与共建，培育群众文艺团队，实现传承传统文化、市民自我展示、艺术普及、特色文化培育等功能，涵育文明、成风化人。推动新时代文明实践下基层，做优新时代文明实践“项目库”，常态开展“实践惠企”“实践下乡”“实践惠民”等活动。</w:t>
      </w:r>
    </w:p>
    <w:p w14:paraId="12103FDC">
      <w:pPr>
        <w:pStyle w:val="3"/>
        <w:overflowPunct w:val="0"/>
        <w:spacing w:before="156" w:beforeLines="50" w:after="156" w:afterLines="50" w:line="600" w:lineRule="exact"/>
        <w:ind w:firstLine="0" w:firstLineChars="0"/>
        <w:jc w:val="center"/>
        <w:rPr>
          <w:rFonts w:hint="default" w:ascii="Times New Roman" w:hAnsi="Times New Roman" w:eastAsia="黑体" w:cs="Times New Roman"/>
          <w:b w:val="0"/>
          <w:bCs w:val="0"/>
        </w:rPr>
      </w:pPr>
      <w:bookmarkStart w:id="661" w:name="_Toc28420"/>
      <w:bookmarkStart w:id="662" w:name="_Toc13220"/>
      <w:bookmarkStart w:id="663" w:name="_Toc4905"/>
      <w:r>
        <w:rPr>
          <w:rFonts w:hint="default" w:ascii="Times New Roman" w:hAnsi="Times New Roman" w:eastAsia="黑体" w:cs="Times New Roman"/>
          <w:b w:val="0"/>
          <w:bCs w:val="0"/>
        </w:rPr>
        <w:t>第十六章 健全安全高效的市域治理体系</w:t>
      </w:r>
      <w:bookmarkEnd w:id="661"/>
      <w:bookmarkEnd w:id="662"/>
      <w:bookmarkEnd w:id="663"/>
    </w:p>
    <w:p w14:paraId="60D0F0F1">
      <w:pPr>
        <w:overflowPunct w:val="0"/>
        <w:adjustRightInd w:val="0"/>
        <w:spacing w:after="0" w:line="600" w:lineRule="exact"/>
        <w:ind w:firstLine="640" w:firstLineChars="200"/>
        <w:jc w:val="both"/>
        <w:rPr>
          <w:rFonts w:hint="default" w:ascii="Times New Roman" w:hAnsi="Times New Roman" w:eastAsia="黑体" w:cs="Times New Roman"/>
          <w:sz w:val="32"/>
          <w:szCs w:val="32"/>
        </w:rPr>
      </w:pPr>
      <w:r>
        <w:rPr>
          <w:rFonts w:hint="default" w:ascii="Times New Roman" w:hAnsi="Times New Roman" w:eastAsia="仿宋_GB2312" w:cs="Times New Roman"/>
          <w:sz w:val="32"/>
          <w:szCs w:val="32"/>
        </w:rPr>
        <w:t>坚持科学化、精细化、法治化、智慧化发展方向，统筹发展和安全，着力把安全发展理念贯穿各领域、全过程，加快推进城市治理体系和治理能力现代化，构建共建共治的现代社会治理新格局。</w:t>
      </w:r>
    </w:p>
    <w:p w14:paraId="7C7658EC">
      <w:pPr>
        <w:overflowPunct w:val="0"/>
        <w:spacing w:after="0" w:line="600" w:lineRule="exact"/>
        <w:jc w:val="center"/>
        <w:outlineLvl w:val="2"/>
        <w:rPr>
          <w:rFonts w:hint="default" w:ascii="Times New Roman" w:hAnsi="Times New Roman" w:eastAsia="楷体" w:cs="Times New Roman"/>
          <w:sz w:val="32"/>
          <w:szCs w:val="32"/>
        </w:rPr>
      </w:pPr>
      <w:bookmarkStart w:id="664" w:name="_Toc21571"/>
      <w:bookmarkStart w:id="665" w:name="_Toc1177"/>
      <w:bookmarkStart w:id="666" w:name="_Toc25119"/>
      <w:r>
        <w:rPr>
          <w:rFonts w:hint="default" w:ascii="Times New Roman" w:hAnsi="Times New Roman" w:eastAsia="楷体" w:cs="Times New Roman"/>
          <w:sz w:val="32"/>
          <w:szCs w:val="32"/>
        </w:rPr>
        <w:t>第一节 提高公共安全治理水平</w:t>
      </w:r>
      <w:bookmarkEnd w:id="664"/>
      <w:bookmarkEnd w:id="665"/>
      <w:bookmarkEnd w:id="666"/>
    </w:p>
    <w:p w14:paraId="2EFDD9DF">
      <w:pPr>
        <w:widowControl/>
        <w:overflowPunct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完善应急管理体系。</w:t>
      </w:r>
      <w:r>
        <w:rPr>
          <w:rFonts w:hint="default" w:ascii="Times New Roman" w:hAnsi="Times New Roman" w:eastAsia="仿宋_GB2312" w:cs="Times New Roman"/>
          <w:sz w:val="32"/>
          <w:szCs w:val="32"/>
        </w:rPr>
        <w:t>锚定“事前预防转型”核心方向，完善市镇两级应急预案体系，加强市级专业救援队伍和社会应急救援力量建设，常态化开展多灾种、跨部门联合实战演练，提升区镇、村（社区）应急管理能力。完善极端天气等自然灾害综合监测预警体系，优化应急物资储备布局和调运机制，健全临灾预警“叫应”、灾后救助和恢复重建机制，提升极端天气等灾害条件下的“全灾种”综合救援能力。强化“人工智能+应急管理”，推进“应急365”综合管理平台迭代升级，加强安全风险感知网络建设和高危企业异常生产行为监测预警，增强应急管理新质战斗力。加快国防动员能力建设，加强后备力量建设，深化全民国防教育，巩固军政军民团结。</w:t>
      </w:r>
    </w:p>
    <w:p w14:paraId="0E24C9D4">
      <w:pPr>
        <w:pStyle w:val="32"/>
        <w:overflowPunct w:val="0"/>
        <w:spacing w:after="0" w:line="600" w:lineRule="exact"/>
        <w:ind w:firstLine="64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防范化解重大风险。</w:t>
      </w:r>
      <w:r>
        <w:rPr>
          <w:rFonts w:hint="default" w:ascii="Times New Roman" w:hAnsi="Times New Roman" w:eastAsia="仿宋_GB2312" w:cs="Times New Roman"/>
          <w:sz w:val="32"/>
          <w:szCs w:val="32"/>
        </w:rPr>
        <w:t>强化对重点企业动态监测和风险预警，前瞻性防范因企业外迁或业务收缩引发的断链风险，提升产业链供应链安全韧性水平。防范化解经济金融领域风险，稳定房地产市场，有序化解债务风险。提升公共安全风险防控能力，构建全程可控的粮食安全保障体系，强化燃气安全源头管控，优化煤炭储备和天然气供应网络，健全生物安全监管预警防控体系。加强食品药品安全全链条监管，推动大中型食品生产企业健全质量管理体系，实现规模以上食品生产企业危害分析与关键控制点体系全覆盖。加强组织领导，落实维稳责任，做好舆情监测引导，妥善化解征地拆迁、环境污染、劳资纠纷等矛盾，维护社会和谐稳定。</w:t>
      </w:r>
    </w:p>
    <w:p w14:paraId="022A715A">
      <w:pPr>
        <w:pStyle w:val="32"/>
        <w:overflowPunct w:val="0"/>
        <w:spacing w:after="0" w:line="600" w:lineRule="exact"/>
        <w:ind w:firstLine="640"/>
        <w:jc w:val="both"/>
        <w:rPr>
          <w:rFonts w:hint="default" w:ascii="Times New Roman" w:hAnsi="Times New Roman" w:eastAsia="楷体" w:cs="Times New Roman"/>
          <w:sz w:val="32"/>
          <w:szCs w:val="32"/>
        </w:rPr>
      </w:pPr>
      <w:r>
        <w:rPr>
          <w:rFonts w:hint="default" w:ascii="Times New Roman" w:hAnsi="Times New Roman" w:eastAsia="楷体" w:cs="Times New Roman"/>
          <w:sz w:val="32"/>
          <w:szCs w:val="32"/>
        </w:rPr>
        <w:t>筑牢安全发展底线。</w:t>
      </w:r>
      <w:r>
        <w:rPr>
          <w:rFonts w:hint="default" w:ascii="Times New Roman" w:hAnsi="Times New Roman" w:eastAsia="仿宋_GB2312" w:cs="Times New Roman"/>
          <w:sz w:val="32"/>
          <w:szCs w:val="32"/>
        </w:rPr>
        <w:t>巩固提升安全生产“六化”建设质效，以区镇安全生产领域委托执法为抓手，推动基层安全生产和消防“五位一体”工作体系提质增效，构建权责清晰的安全生产责任体系。深化重大事故隐患排查整治，推进危险化学品、燃气、电动自行车、高层建筑等“一件事”全链条治理，坚决防范和遏制较大以上事故发生。加快安全技术进步和高危产业升级转型，推动“机械化换人、自动化减人、智能化无人”，提升本质安全水平。推进“两员一师”队伍建设，实施城市安全融入计划和市民“避险技能+1”工程，提升公众风险防范意识和自救互救能力。</w:t>
      </w:r>
    </w:p>
    <w:p w14:paraId="77FBABC2">
      <w:pPr>
        <w:pStyle w:val="32"/>
        <w:overflowPunct w:val="0"/>
        <w:spacing w:after="0" w:line="600" w:lineRule="exact"/>
        <w:ind w:firstLine="64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深化社会治安防控体系建设。</w:t>
      </w:r>
      <w:r>
        <w:rPr>
          <w:rFonts w:hint="default" w:ascii="Times New Roman" w:hAnsi="Times New Roman" w:eastAsia="仿宋_GB2312" w:cs="Times New Roman"/>
          <w:sz w:val="32"/>
          <w:szCs w:val="32"/>
        </w:rPr>
        <w:t>深入推进平安昆山建设，常态化推进扫黑除恶斗争，严厉打击电信网络诈骗。构建市级风险快反处置中心，建立健全“行业+条线+板块”风险定期体检机制。完成三级综治中心规范化建设，深化“综治+警务”双网融合。坚持打防结合、控治并举，完善特殊群体关护帮扶体系，坚决遏制“民转刑”恶性案件和个人极端案事件。升级公安新质战斗力科创中心，建成启用一体化执法基地。推进刑侦体制改革，打造“小模型+”实战体系。深化动态巡防改革，建立巡防资源动态调配机制，强化对“人、物、地”等安全要素的精准掌控与风险全量清零，打造核心区域立体防控圈层。建强新型警务运行模式，织密“水陆空轨网”五位一体治安风险防控网络。</w:t>
      </w:r>
    </w:p>
    <w:p w14:paraId="05658742">
      <w:pPr>
        <w:overflowPunct w:val="0"/>
        <w:spacing w:after="0" w:line="600" w:lineRule="exact"/>
        <w:jc w:val="center"/>
        <w:outlineLvl w:val="2"/>
        <w:rPr>
          <w:rFonts w:hint="default" w:ascii="Times New Roman" w:hAnsi="Times New Roman" w:eastAsia="楷体" w:cs="Times New Roman"/>
          <w:sz w:val="32"/>
          <w:szCs w:val="32"/>
        </w:rPr>
      </w:pPr>
      <w:bookmarkStart w:id="667" w:name="_Toc3428"/>
      <w:bookmarkStart w:id="668" w:name="_Toc8577"/>
      <w:bookmarkStart w:id="669" w:name="_Toc22586"/>
      <w:r>
        <w:rPr>
          <w:rFonts w:hint="default" w:ascii="Times New Roman" w:hAnsi="Times New Roman" w:eastAsia="楷体" w:cs="Times New Roman"/>
          <w:sz w:val="32"/>
          <w:szCs w:val="32"/>
        </w:rPr>
        <w:t>第二节 完善共建共治社会治理制度</w:t>
      </w:r>
      <w:bookmarkEnd w:id="667"/>
      <w:bookmarkEnd w:id="668"/>
      <w:bookmarkEnd w:id="669"/>
    </w:p>
    <w:p w14:paraId="6CB1873B">
      <w:pPr>
        <w:pStyle w:val="32"/>
        <w:overflowPunct w:val="0"/>
        <w:spacing w:after="0" w:line="600" w:lineRule="exact"/>
        <w:ind w:firstLine="64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加强党建引领基层治理和基层政权建设。</w:t>
      </w:r>
      <w:r>
        <w:rPr>
          <w:rFonts w:hint="default" w:ascii="Times New Roman" w:hAnsi="Times New Roman" w:eastAsia="仿宋_GB2312" w:cs="Times New Roman"/>
          <w:sz w:val="32"/>
          <w:szCs w:val="32"/>
        </w:rPr>
        <w:t>深化党建引领基层治理领导协调机制，统筹整合社会工作资源，推进网络规范化建设，构建权责明晰、高效联动、上下贯通、运转灵活的工作体系。坚持和发展新时代“枫桥经验”，健全矛盾纠纷多元化解机制。坚持自治、法治、德治融合，推进基层协商民主，做深“微自治”，加强群众性自治组织规范化建设。试行“空间换服务”“公益+低偿+市场”等模式，探索成立社区企业、强社公司，通过社会化运营、活动自运转、收益微循环等方式，推动社区从“政府输血”转向“自我造血”。坚持“选、育、管、用”全链条机制，推动社区工作者在基层治理一线履职尽责、担当作为。</w:t>
      </w:r>
    </w:p>
    <w:p w14:paraId="4AC4448F">
      <w:pPr>
        <w:pStyle w:val="32"/>
        <w:overflowPunct w:val="0"/>
        <w:spacing w:after="0" w:line="600" w:lineRule="exact"/>
        <w:ind w:firstLine="64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完善凝聚服务群众工作机制。</w:t>
      </w:r>
      <w:r>
        <w:rPr>
          <w:rFonts w:hint="default" w:ascii="Times New Roman" w:hAnsi="Times New Roman" w:eastAsia="仿宋_GB2312" w:cs="Times New Roman"/>
          <w:sz w:val="32"/>
          <w:szCs w:val="32"/>
        </w:rPr>
        <w:t>深化熟人社区建设，建强海棠先锋微网格联络员志愿服务机制，强化居民互动、增进邻里互信</w:t>
      </w:r>
      <w:r>
        <w:rPr>
          <w:rFonts w:hint="default" w:ascii="Times New Roman" w:hAnsi="Times New Roman" w:eastAsia="仿宋_GB2312" w:cs="Times New Roman"/>
          <w:color w:val="000000"/>
          <w:sz w:val="31"/>
          <w:szCs w:val="31"/>
        </w:rPr>
        <w:t>、完善社区服务</w:t>
      </w:r>
      <w:r>
        <w:rPr>
          <w:rFonts w:hint="default" w:ascii="Times New Roman" w:hAnsi="Times New Roman" w:eastAsia="仿宋_GB2312" w:cs="Times New Roman"/>
          <w:sz w:val="32"/>
          <w:szCs w:val="32"/>
        </w:rPr>
        <w:t>，构建“邻里相熟、守望相助、治理协同、共享发展”的社区生活共同体。推进志愿服务品牌化、项目化、专业化，完善志愿者嘉许礼遇机制，聚焦矛盾纠纷化解、青少年心理健康等重点领域，打造具有昆山特色的志愿服务品牌。搭建“四方协同”“百姓议事厅”等平台，推行“小事大议”协商机制，推动社区、物业、业委会、社会组织联动共治，将群众“金点子”转化为治理“金钥匙”。</w:t>
      </w:r>
    </w:p>
    <w:p w14:paraId="3B69EA3F">
      <w:pPr>
        <w:pStyle w:val="32"/>
        <w:overflowPunct w:val="0"/>
        <w:spacing w:after="0" w:line="600" w:lineRule="exact"/>
        <w:ind w:firstLine="64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加强社会组织培育管理。</w:t>
      </w:r>
      <w:r>
        <w:rPr>
          <w:rFonts w:hint="default" w:ascii="Times New Roman" w:hAnsi="Times New Roman" w:eastAsia="仿宋_GB2312" w:cs="Times New Roman"/>
          <w:sz w:val="32"/>
          <w:szCs w:val="32"/>
        </w:rPr>
        <w:t>深化“锋行益路”党建品牌引领，推动党的建设与社会组织登记、管理、评估等环节深度融合。完善服务与监管机制，提升审批服务便利度，探索建立更加精准的分类监管与协同执法模式。引导社会组织在民生建设、社区服务、公益慈善等领域发挥更大作用，搭建对接平台，开展专业化特色服务，孵化培育服务类、互助类、志愿类等各类社区社会组织，推动社区社会组织在参与基层治理、提供社区服务方面展现更大活力。</w:t>
      </w:r>
    </w:p>
    <w:p w14:paraId="7A4B0E1F">
      <w:pPr>
        <w:overflowPunct w:val="0"/>
        <w:spacing w:after="0" w:line="600" w:lineRule="exact"/>
        <w:ind w:firstLine="640" w:firstLineChars="200"/>
        <w:jc w:val="center"/>
        <w:outlineLvl w:val="2"/>
        <w:rPr>
          <w:rFonts w:hint="default" w:ascii="Times New Roman" w:hAnsi="Times New Roman" w:eastAsia="楷体" w:cs="Times New Roman"/>
          <w:sz w:val="32"/>
          <w:szCs w:val="32"/>
        </w:rPr>
      </w:pPr>
      <w:bookmarkStart w:id="670" w:name="_Toc16562"/>
      <w:bookmarkStart w:id="671" w:name="_Toc1380"/>
      <w:bookmarkStart w:id="672" w:name="_Toc18243"/>
      <w:r>
        <w:rPr>
          <w:rFonts w:hint="default" w:ascii="Times New Roman" w:hAnsi="Times New Roman" w:eastAsia="楷体" w:cs="Times New Roman"/>
          <w:sz w:val="32"/>
          <w:szCs w:val="32"/>
        </w:rPr>
        <w:t>第三节 全面推进法治昆山建设</w:t>
      </w:r>
      <w:bookmarkEnd w:id="670"/>
      <w:bookmarkEnd w:id="671"/>
      <w:bookmarkEnd w:id="672"/>
    </w:p>
    <w:p w14:paraId="51B77912">
      <w:pPr>
        <w:pStyle w:val="32"/>
        <w:overflowPunct w:val="0"/>
        <w:spacing w:after="0" w:line="600" w:lineRule="exact"/>
        <w:ind w:firstLine="64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深入推进依法行政。</w:t>
      </w:r>
      <w:r>
        <w:rPr>
          <w:rFonts w:hint="default" w:ascii="Times New Roman" w:hAnsi="Times New Roman" w:eastAsia="仿宋_GB2312" w:cs="Times New Roman"/>
          <w:sz w:val="32"/>
          <w:szCs w:val="32"/>
        </w:rPr>
        <w:t>深入学习贯彻落实习近平法治思想，推动党政主要负责人履行推进法治建设第一责任人职责，完善综合性法治评价工作机制。深化政府部门权责清单制度，构建职责明确、依法行政的政府治理体系。健全“一体两翼”法治审核工作体系，完善基层合法性审查机制，实现行政规范性文件、重大行政决策事项全周期管理。深化行政执法体制改革，严格规范公正文明执法，进一步规范行政检查行为，切实推动有为政府与有效市场更好结合。</w:t>
      </w:r>
    </w:p>
    <w:p w14:paraId="2C7E1FA1">
      <w:pPr>
        <w:pStyle w:val="32"/>
        <w:overflowPunct w:val="0"/>
        <w:spacing w:after="0" w:line="600" w:lineRule="exact"/>
        <w:ind w:firstLine="64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健全监督制约体系。</w:t>
      </w:r>
      <w:r>
        <w:rPr>
          <w:rFonts w:hint="default" w:ascii="Times New Roman" w:hAnsi="Times New Roman" w:eastAsia="仿宋_GB2312" w:cs="Times New Roman"/>
          <w:sz w:val="32"/>
          <w:szCs w:val="32"/>
        </w:rPr>
        <w:t>强化司法权力运行监督，严格落实法官检察官办案质量终身负责制。完善司法惩戒和错案责任追究制度，进一步规范司法权力运行。支持检察机关充分履行刑事、民事、行政、公益诉讼检察职能，依法加大对执法不严、司法不公等问题监督纠正力度。健全政府与企业、社会沟通机制，广泛听取社会各界意见建议，构建人大监督、民主监督、行政监督、司法监督、舆论监督等协调联动的大监督格局。</w:t>
      </w:r>
    </w:p>
    <w:p w14:paraId="13D9A7D2">
      <w:pPr>
        <w:pStyle w:val="32"/>
        <w:overflowPunct w:val="0"/>
        <w:spacing w:after="0" w:line="600" w:lineRule="exact"/>
        <w:ind w:firstLine="64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积极构建法治社会。</w:t>
      </w:r>
      <w:r>
        <w:rPr>
          <w:rFonts w:hint="default" w:ascii="Times New Roman" w:hAnsi="Times New Roman" w:eastAsia="仿宋_GB2312" w:cs="Times New Roman"/>
          <w:sz w:val="32"/>
          <w:szCs w:val="32"/>
        </w:rPr>
        <w:t>深入推进“九五”普法，持续提升公民法治素养。健全党组织领导的自治、法治、德治相结合的城乡基层治理体系，扎实推进昆山基层立法联系点建设，深化民主法治示范村（社区）创建，高质量运行物业、劳动等特色融合法庭、融诉驿站，健全社会矛盾纠纷多元预防调处化解综合机制。加快完善现代公共法律服务体系，加强律师队伍建设，为群众提供多元普惠、便捷高效的公共法律服务。加强涉外法治建设，支持涉外法律服务业发展，培育涉外法治人才，推动更高水平对外开放。</w:t>
      </w:r>
    </w:p>
    <w:p w14:paraId="269E3BD5">
      <w:pPr>
        <w:overflowPunct w:val="0"/>
        <w:spacing w:before="156" w:beforeLines="50" w:after="156" w:afterLines="50" w:line="600" w:lineRule="exact"/>
        <w:jc w:val="center"/>
        <w:outlineLvl w:val="1"/>
        <w:rPr>
          <w:rFonts w:hint="default" w:ascii="Times New Roman" w:hAnsi="Times New Roman" w:eastAsia="黑体" w:cs="Times New Roman"/>
          <w:sz w:val="32"/>
          <w:szCs w:val="32"/>
        </w:rPr>
      </w:pPr>
      <w:bookmarkStart w:id="673" w:name="_Toc24633"/>
      <w:bookmarkStart w:id="674" w:name="_Toc10535"/>
      <w:bookmarkStart w:id="675" w:name="_Toc30880"/>
      <w:r>
        <w:rPr>
          <w:rFonts w:hint="default" w:ascii="Times New Roman" w:hAnsi="Times New Roman" w:eastAsia="黑体" w:cs="Times New Roman"/>
          <w:sz w:val="32"/>
          <w:szCs w:val="32"/>
        </w:rPr>
        <w:t>第十七章 系统强化规划实施各项保障</w:t>
      </w:r>
      <w:bookmarkEnd w:id="673"/>
      <w:bookmarkEnd w:id="674"/>
      <w:bookmarkEnd w:id="675"/>
    </w:p>
    <w:p w14:paraId="6A241461">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坚持和完善党领导经济社会发展的体制机制，把党的领导落实到规划实施的各领域和全过程，不断完善规划体系和实施机制，强化统筹协调和制度保障，强化重大载体支撑作用，广泛凝聚社会各方力量，共同将总书记对昆山“勾画现代化目标”的嘱托转化为现实图景。</w:t>
      </w:r>
    </w:p>
    <w:p w14:paraId="7D314DAF">
      <w:pPr>
        <w:overflowPunct w:val="0"/>
        <w:spacing w:after="0" w:line="600" w:lineRule="exact"/>
        <w:jc w:val="center"/>
        <w:outlineLvl w:val="2"/>
        <w:rPr>
          <w:rFonts w:hint="default" w:ascii="Times New Roman" w:hAnsi="Times New Roman" w:eastAsia="楷体" w:cs="Times New Roman"/>
          <w:sz w:val="32"/>
          <w:szCs w:val="32"/>
        </w:rPr>
      </w:pPr>
      <w:bookmarkStart w:id="676" w:name="_Toc14230"/>
      <w:bookmarkStart w:id="677" w:name="_Toc30920"/>
      <w:bookmarkStart w:id="678" w:name="_Toc18372"/>
      <w:r>
        <w:rPr>
          <w:rFonts w:hint="default" w:ascii="Times New Roman" w:hAnsi="Times New Roman" w:eastAsia="楷体" w:cs="Times New Roman"/>
          <w:sz w:val="32"/>
          <w:szCs w:val="32"/>
        </w:rPr>
        <w:t>第一节 坚持和加强党的全面领导</w:t>
      </w:r>
      <w:bookmarkEnd w:id="676"/>
      <w:bookmarkEnd w:id="677"/>
      <w:bookmarkEnd w:id="678"/>
    </w:p>
    <w:p w14:paraId="34200D92">
      <w:pPr>
        <w:overflowPunct w:val="0"/>
        <w:spacing w:after="0" w:line="600" w:lineRule="exact"/>
        <w:ind w:firstLine="640" w:firstLineChars="200"/>
        <w:jc w:val="both"/>
        <w:rPr>
          <w:rFonts w:hint="default" w:ascii="Times New Roman" w:hAnsi="Times New Roman" w:cs="Times New Roman"/>
        </w:rPr>
      </w:pPr>
      <w:r>
        <w:rPr>
          <w:rFonts w:hint="default" w:ascii="Times New Roman" w:hAnsi="Times New Roman" w:eastAsia="楷体" w:cs="Times New Roman"/>
          <w:sz w:val="32"/>
          <w:szCs w:val="32"/>
        </w:rPr>
        <w:t>全面提升党领导经济社会规划工作的能力。</w:t>
      </w:r>
      <w:r>
        <w:rPr>
          <w:rFonts w:hint="default" w:ascii="Times New Roman" w:hAnsi="Times New Roman" w:eastAsia="仿宋_GB2312" w:cs="Times New Roman"/>
          <w:sz w:val="32"/>
          <w:szCs w:val="32"/>
        </w:rPr>
        <w:t>以党的政治建设为统领，全面加强党的集中统一领导，落实全面从严治党主体责任和监督责任，充分发挥党总揽全局、协调各方的领导核心作用。创新党领导经济工作的观念、体制和方式方法，加强对经济社会发展的统筹协调。坚持用习近平新时代中国特色社会主义思想武装各级党组织和广大党员干部，增强党组织的创造力、战斗力和凝聚力，加强干部队伍建设，提高领导干部专业化水平。坚持以党的自我革命引领社会革命，深入推进全面从严治党，以严的基调强化正风肃纪，筑牢拒腐防变的思想防线和制度防线，确保各级党组织和党员干部始终保持清正廉洁的政治本色。</w:t>
      </w:r>
    </w:p>
    <w:p w14:paraId="1F7AB143">
      <w:pPr>
        <w:overflowPunct w:val="0"/>
        <w:spacing w:after="0" w:line="600" w:lineRule="exact"/>
        <w:ind w:firstLine="640" w:firstLineChars="200"/>
        <w:jc w:val="both"/>
        <w:rPr>
          <w:rFonts w:hint="default" w:ascii="Times New Roman" w:hAnsi="Times New Roman" w:cs="Times New Roman"/>
        </w:rPr>
      </w:pPr>
      <w:r>
        <w:rPr>
          <w:rFonts w:hint="default" w:ascii="Times New Roman" w:hAnsi="Times New Roman" w:eastAsia="楷体" w:cs="Times New Roman"/>
          <w:sz w:val="32"/>
          <w:szCs w:val="32"/>
        </w:rPr>
        <w:t>广泛凝聚社会各方力量形成强大发展合力。</w:t>
      </w:r>
      <w:r>
        <w:rPr>
          <w:rFonts w:hint="default" w:ascii="Times New Roman" w:hAnsi="Times New Roman" w:eastAsia="仿宋_GB2312" w:cs="Times New Roman"/>
          <w:sz w:val="32"/>
          <w:szCs w:val="32"/>
        </w:rPr>
        <w:t>坚持和完善人民代表大会制度、中国共产党领导的多党合作和政治协商制度、基层群众自治制度，完善大统战工作格局，加强民族、宗教、侨务、对台、港澳等工作，巩固和发展最广泛的爱国统一战线，充分发挥中国特色社会主义制度优势。加强党对统一战线和群团等工作的领导，筑牢基层党组织战斗堡垒，强化工会、共青团、妇联等群团组织功能。持续开展双拥模范城创建，强化退役军人就业、保障工作。加强舆论引导，创新宣传载体与方式，充分调动一切积极因素，为规划落实凝聚共识、汇聚动能，提供有力支撑。</w:t>
      </w:r>
    </w:p>
    <w:p w14:paraId="25EC6B35">
      <w:pPr>
        <w:overflowPunct w:val="0"/>
        <w:spacing w:after="0" w:line="600" w:lineRule="exact"/>
        <w:jc w:val="center"/>
        <w:outlineLvl w:val="2"/>
        <w:rPr>
          <w:rFonts w:hint="default" w:ascii="Times New Roman" w:hAnsi="Times New Roman" w:eastAsia="楷体" w:cs="Times New Roman"/>
          <w:sz w:val="32"/>
          <w:szCs w:val="32"/>
        </w:rPr>
      </w:pPr>
      <w:bookmarkStart w:id="679" w:name="_Toc32405"/>
      <w:bookmarkStart w:id="680" w:name="_Toc21693"/>
      <w:bookmarkStart w:id="681" w:name="_Toc18422"/>
      <w:r>
        <w:rPr>
          <w:rFonts w:hint="default" w:ascii="Times New Roman" w:hAnsi="Times New Roman" w:eastAsia="楷体" w:cs="Times New Roman"/>
          <w:sz w:val="32"/>
          <w:szCs w:val="32"/>
        </w:rPr>
        <w:t>第二节 健全完善规划实施机制</w:t>
      </w:r>
      <w:bookmarkEnd w:id="679"/>
      <w:bookmarkEnd w:id="680"/>
      <w:bookmarkEnd w:id="681"/>
    </w:p>
    <w:p w14:paraId="270A33B6">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健全统一规划体系。</w:t>
      </w:r>
      <w:r>
        <w:rPr>
          <w:rFonts w:hint="default" w:ascii="Times New Roman" w:hAnsi="Times New Roman" w:eastAsia="仿宋_GB2312" w:cs="Times New Roman"/>
          <w:sz w:val="32"/>
          <w:szCs w:val="32"/>
        </w:rPr>
        <w:t>建立以市发展规划为统领，以空间规划为基础，以专项规划和区域规划为支撑，定位准确、边界清晰、功能互补、统一衔接的规划体系。健全规划管理衔接协调机制，统筹规划全过程管理，完善目录清单、编制备案、衔接协调等管理制度，坚持下位规划服从上位规划、下级规划服务上级规划、等位规划相互协调、市级其他规划服从市级发展规划、规划互不矛盾的原则，构建纵向衔接、横向协调的规划衔接机制。</w:t>
      </w:r>
    </w:p>
    <w:p w14:paraId="1058A402">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完善规划实施机制。</w:t>
      </w:r>
      <w:r>
        <w:rPr>
          <w:rFonts w:hint="default" w:ascii="Times New Roman" w:hAnsi="Times New Roman" w:eastAsia="仿宋_GB2312" w:cs="Times New Roman"/>
          <w:sz w:val="32"/>
          <w:szCs w:val="32"/>
        </w:rPr>
        <w:t>坚持以规划确定项目、以项目落实规划，发挥好重大项目对规划落实的支撑作用。坚持规划定方向、财政作保障、金融为支撑、其他政策相协调。强化资源要素保障，优化资金、土地、人才、环保、用能等资源要素的合理配置，优先保障项目的规划选址、土地供应和融资安排。</w:t>
      </w:r>
    </w:p>
    <w:p w14:paraId="020AE8EB">
      <w:pPr>
        <w:overflowPunct w:val="0"/>
        <w:spacing w:after="0" w:line="600" w:lineRule="exact"/>
        <w:ind w:firstLine="640" w:firstLineChars="200"/>
        <w:rPr>
          <w:rFonts w:hint="default" w:ascii="Times New Roman" w:hAnsi="Times New Roman" w:cs="Times New Roman"/>
        </w:rPr>
      </w:pPr>
      <w:r>
        <w:rPr>
          <w:rFonts w:hint="default" w:ascii="Times New Roman" w:hAnsi="Times New Roman" w:eastAsia="楷体" w:cs="Times New Roman"/>
          <w:sz w:val="32"/>
          <w:szCs w:val="32"/>
        </w:rPr>
        <w:t>明确落实分工责任。</w:t>
      </w:r>
      <w:r>
        <w:rPr>
          <w:rFonts w:hint="default" w:ascii="Times New Roman" w:hAnsi="Times New Roman" w:eastAsia="仿宋_GB2312" w:cs="Times New Roman"/>
          <w:sz w:val="32"/>
          <w:szCs w:val="32"/>
        </w:rPr>
        <w:t>以本规划为依据，制定实施方案、重点领域行动计划和年度计划，分解落实规划提出的发展目标和重点任务，明确责任主体与时序进度，确保规划目标任务按计划、按步骤得到落实。强化年度计划与纲要的衔接联动，将纲要的主要指标纳入年度计划指标体系，合理设置年度目标并做好年度间综合平衡。</w:t>
      </w:r>
    </w:p>
    <w:p w14:paraId="04FB0CF5">
      <w:pPr>
        <w:overflowPunct w:val="0"/>
        <w:spacing w:after="0" w:line="600" w:lineRule="exact"/>
        <w:jc w:val="center"/>
        <w:outlineLvl w:val="2"/>
        <w:rPr>
          <w:rFonts w:hint="default" w:ascii="Times New Roman" w:hAnsi="Times New Roman" w:eastAsia="楷体" w:cs="Times New Roman"/>
          <w:sz w:val="32"/>
          <w:szCs w:val="32"/>
        </w:rPr>
      </w:pPr>
      <w:bookmarkStart w:id="682" w:name="_Toc24849"/>
      <w:bookmarkStart w:id="683" w:name="_Toc24271"/>
      <w:bookmarkStart w:id="684" w:name="_Toc7136"/>
      <w:r>
        <w:rPr>
          <w:rFonts w:hint="default" w:ascii="Times New Roman" w:hAnsi="Times New Roman" w:eastAsia="楷体" w:cs="Times New Roman"/>
          <w:sz w:val="32"/>
          <w:szCs w:val="32"/>
        </w:rPr>
        <w:t>第三节 着力加强规划实施评估</w:t>
      </w:r>
      <w:bookmarkEnd w:id="682"/>
      <w:bookmarkEnd w:id="683"/>
      <w:bookmarkEnd w:id="684"/>
    </w:p>
    <w:p w14:paraId="7BF9C2FC">
      <w:pPr>
        <w:overflowPunct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健全规划监督评估体系。</w:t>
      </w:r>
      <w:r>
        <w:rPr>
          <w:rFonts w:hint="default" w:ascii="Times New Roman" w:hAnsi="Times New Roman" w:eastAsia="仿宋_GB2312" w:cs="Times New Roman"/>
          <w:sz w:val="32"/>
          <w:szCs w:val="32"/>
        </w:rPr>
        <w:t>完善规划主要指标监测、统计、评估、考核制度，适时开展规划实施情况动态监测、中期评估和总结评估，鼓励开展第三方评估，将评估结果作为改进政府工作和绩效考核的重要依据。强化规划权威性、严肃性，规划动态调整和修订必须按规定程序依法进行。充分运用信息技术和大数据资源，提升监测分析的精准性和时效性。</w:t>
      </w:r>
    </w:p>
    <w:p w14:paraId="0501E054">
      <w:pPr>
        <w:numPr>
          <w:ilvl w:val="255"/>
          <w:numId w:val="0"/>
        </w:numPr>
        <w:overflowPunct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强化规划实施监督考核。</w:t>
      </w:r>
      <w:r>
        <w:rPr>
          <w:rFonts w:hint="default" w:ascii="Times New Roman" w:hAnsi="Times New Roman" w:eastAsia="仿宋_GB2312" w:cs="Times New Roman"/>
          <w:sz w:val="32"/>
          <w:szCs w:val="32"/>
        </w:rPr>
        <w:t>完善规划实施监督机制，畅通监督渠道，发挥行政监察、组织人事、统计审计等部门监督作用，完善政府向人大、政协报告沟通机制。推进规划实施信息公开，建立有效社会公众监督机制，自觉接受社会各界监督并听取公众意见，提高规划实施透明度和公众参与度。</w:t>
      </w:r>
    </w:p>
    <w:p w14:paraId="14125BBE">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528E7A2A">
      <w:pPr>
        <w:adjustRightInd w:val="0"/>
        <w:snapToGrid w:val="0"/>
        <w:spacing w:before="312" w:beforeLines="100" w:after="312" w:afterLines="100" w:line="600" w:lineRule="exact"/>
        <w:jc w:val="center"/>
        <w:outlineLvl w:val="0"/>
        <w:rPr>
          <w:rFonts w:hint="default" w:ascii="Times New Roman" w:hAnsi="Times New Roman" w:eastAsia="方正大标宋简体" w:cs="Times New Roman"/>
          <w:kern w:val="44"/>
          <w:sz w:val="44"/>
          <w:szCs w:val="44"/>
        </w:rPr>
      </w:pPr>
      <w:bookmarkStart w:id="685" w:name="_Toc31499"/>
      <w:bookmarkStart w:id="686" w:name="_Toc30644"/>
      <w:bookmarkStart w:id="687" w:name="_Toc14899"/>
      <w:r>
        <w:rPr>
          <w:rFonts w:hint="default" w:ascii="Times New Roman" w:hAnsi="Times New Roman" w:eastAsia="方正大标宋简体" w:cs="Times New Roman"/>
          <w:kern w:val="44"/>
          <w:sz w:val="44"/>
          <w:szCs w:val="44"/>
        </w:rPr>
        <w:t>部分名词解释</w:t>
      </w:r>
      <w:bookmarkEnd w:id="685"/>
      <w:bookmarkEnd w:id="686"/>
      <w:bookmarkEnd w:id="687"/>
    </w:p>
    <w:p w14:paraId="433EBAC6">
      <w:pPr>
        <w:widowControl/>
        <w:autoSpaceDE w:val="0"/>
        <w:adjustRightInd w:val="0"/>
        <w:spacing w:after="0" w:line="600" w:lineRule="exact"/>
        <w:ind w:firstLine="640" w:firstLineChars="200"/>
        <w:jc w:val="both"/>
        <w:rPr>
          <w:rFonts w:hint="default" w:ascii="Times New Roman" w:hAnsi="Times New Roman" w:eastAsia="仿宋_GB2312" w:cs="Times New Roman"/>
          <w:color w:val="000000"/>
          <w:kern w:val="0"/>
          <w:sz w:val="32"/>
          <w:szCs w:val="32"/>
        </w:rPr>
      </w:pPr>
      <w:r>
        <w:rPr>
          <w:rFonts w:hint="default" w:ascii="Times New Roman" w:hAnsi="Times New Roman" w:eastAsia="黑体" w:cs="Times New Roman"/>
          <w:color w:val="000000"/>
          <w:kern w:val="0"/>
          <w:sz w:val="32"/>
          <w:szCs w:val="32"/>
        </w:rPr>
        <w:t>1. “昆山之链”</w:t>
      </w:r>
      <w:r>
        <w:rPr>
          <w:rFonts w:hint="default" w:ascii="Times New Roman" w:hAnsi="Times New Roman" w:eastAsia="仿宋_GB2312" w:cs="Times New Roman"/>
          <w:color w:val="000000"/>
          <w:kern w:val="0"/>
          <w:sz w:val="32"/>
          <w:szCs w:val="32"/>
        </w:rPr>
        <w:t>：该生态链条慢行环线工程通过串起昆山南北重要节点，将全市步行、骑行、路行、游船等慢行线路进行串联，打造串珠成链、连片成景的水乡休闲面貌，其中首链工程缘甸段区域性10公里慢行环线已贯通。</w:t>
      </w:r>
    </w:p>
    <w:p w14:paraId="41A2A2A6">
      <w:pPr>
        <w:widowControl/>
        <w:autoSpaceDE w:val="0"/>
        <w:adjustRightInd w:val="0"/>
        <w:spacing w:after="0" w:line="600" w:lineRule="exact"/>
        <w:ind w:firstLine="640" w:firstLineChars="200"/>
        <w:jc w:val="both"/>
        <w:rPr>
          <w:rFonts w:hint="default" w:ascii="Times New Roman" w:hAnsi="Times New Roman" w:eastAsia="仿宋_GB2312" w:cs="Times New Roman"/>
          <w:color w:val="000000"/>
          <w:kern w:val="0"/>
          <w:sz w:val="32"/>
          <w:szCs w:val="32"/>
        </w:rPr>
      </w:pPr>
      <w:r>
        <w:rPr>
          <w:rFonts w:hint="default" w:ascii="Times New Roman" w:hAnsi="Times New Roman" w:eastAsia="黑体" w:cs="Times New Roman"/>
          <w:color w:val="000000"/>
          <w:kern w:val="0"/>
          <w:sz w:val="32"/>
          <w:szCs w:val="32"/>
        </w:rPr>
        <w:t>2. “昆小薇”</w:t>
      </w:r>
      <w:r>
        <w:rPr>
          <w:rFonts w:hint="default" w:ascii="Times New Roman" w:hAnsi="Times New Roman" w:eastAsia="仿宋_GB2312" w:cs="Times New Roman"/>
          <w:color w:val="000000"/>
          <w:kern w:val="0"/>
          <w:sz w:val="32"/>
          <w:szCs w:val="32"/>
        </w:rPr>
        <w:t>：指“昆小薇·共享鹿城”专项行动，是对城市进行“针灸”，融入文化元素，顺应自然理念，见缝插针对城市主次干道</w:t>
      </w:r>
      <w:bookmarkStart w:id="688" w:name="_GoBack"/>
      <w:bookmarkEnd w:id="688"/>
      <w:r>
        <w:rPr>
          <w:rFonts w:hint="default" w:ascii="Times New Roman" w:hAnsi="Times New Roman" w:eastAsia="仿宋_GB2312" w:cs="Times New Roman"/>
          <w:color w:val="000000"/>
          <w:kern w:val="0"/>
          <w:sz w:val="32"/>
          <w:szCs w:val="32"/>
        </w:rPr>
        <w:t>、街头转角、老旧小区、征收闲置地、围墙等居民身边的小微公共空间开展美化的专项行动。</w:t>
      </w:r>
    </w:p>
    <w:p w14:paraId="20BC21E6">
      <w:pPr>
        <w:widowControl/>
        <w:autoSpaceDE w:val="0"/>
        <w:adjustRightInd w:val="0"/>
        <w:spacing w:after="0" w:line="600" w:lineRule="exact"/>
        <w:ind w:firstLine="640" w:firstLineChars="200"/>
        <w:jc w:val="both"/>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黑体" w:cs="Times New Roman"/>
          <w:color w:val="000000"/>
          <w:kern w:val="0"/>
          <w:sz w:val="32"/>
          <w:szCs w:val="32"/>
          <w:lang w:val="en-US" w:eastAsia="zh-CN"/>
        </w:rPr>
        <w:t>3. “1+2345”</w:t>
      </w:r>
      <w:r>
        <w:rPr>
          <w:rFonts w:hint="default" w:ascii="Times New Roman" w:hAnsi="Times New Roman" w:eastAsia="黑体" w:cs="Times New Roman"/>
          <w:color w:val="000000"/>
          <w:kern w:val="0"/>
          <w:sz w:val="32"/>
          <w:szCs w:val="32"/>
          <w:lang w:val="en-US" w:eastAsia="zh-CN"/>
        </w:rPr>
        <w:t>现代化产业体系</w:t>
      </w:r>
      <w:r>
        <w:rPr>
          <w:rFonts w:hint="default" w:ascii="Times New Roman" w:hAnsi="Times New Roman" w:eastAsia="黑体"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其中，“1+”是突出人工智能赋能千行百业；“2”是厚植两大主导产业，打造万亿级新一代信息技术和5000亿级高端装备产业；“3”是以千亿规模为目标，重点培育智能网联新能源汽车、绿色低碳、具身智能三大新兴支柱产业；“4”是培育壮大高端食品、低空飞行器、时尚消费、小核酸及生物医药四个500亿级特色产业；“5”是前瞻布局未来显示、下一代移动通信、生物制造、商业航天、未来能源五大未来产业。</w:t>
      </w:r>
    </w:p>
    <w:p w14:paraId="34F54491">
      <w:pPr>
        <w:widowControl/>
        <w:autoSpaceDE w:val="0"/>
        <w:adjustRightInd w:val="0"/>
        <w:spacing w:after="0" w:line="600" w:lineRule="exact"/>
        <w:ind w:firstLine="640" w:firstLineChars="200"/>
        <w:jc w:val="both"/>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lang w:val="en-US" w:eastAsia="zh-CN"/>
        </w:rPr>
        <w:t>4</w:t>
      </w:r>
      <w:r>
        <w:rPr>
          <w:rFonts w:hint="default" w:ascii="Times New Roman" w:hAnsi="Times New Roman" w:eastAsia="仿宋_GB2312" w:cs="Times New Roman"/>
          <w:color w:val="000000"/>
          <w:kern w:val="0"/>
          <w:sz w:val="32"/>
          <w:szCs w:val="32"/>
        </w:rPr>
        <w:t xml:space="preserve">. </w:t>
      </w:r>
      <w:r>
        <w:rPr>
          <w:rFonts w:hint="default" w:ascii="Times New Roman" w:hAnsi="Times New Roman" w:eastAsia="黑体" w:cs="Times New Roman"/>
          <w:color w:val="000000"/>
          <w:kern w:val="0"/>
          <w:sz w:val="32"/>
          <w:szCs w:val="32"/>
        </w:rPr>
        <w:t>人才科创“631”计划</w:t>
      </w:r>
      <w:r>
        <w:rPr>
          <w:rFonts w:hint="default" w:ascii="Times New Roman" w:hAnsi="Times New Roman" w:eastAsia="仿宋_GB2312" w:cs="Times New Roman"/>
          <w:color w:val="000000"/>
          <w:kern w:val="0"/>
          <w:sz w:val="32"/>
          <w:szCs w:val="32"/>
        </w:rPr>
        <w:t>：集中60%的资源要素“有心栽树”，支持龙头企业布局重大创新平台、开展关键技术攻关；安排30%的资源要素“精心琢玉”，壮大科技型中小企业、专精特新企业、科技领军企业“创新军团”；统筹10%的资源要素“无心插柳”，着力引聚充满活力和潜力的科技型初创企业。</w:t>
      </w:r>
    </w:p>
    <w:p w14:paraId="74349C7F">
      <w:pPr>
        <w:widowControl/>
        <w:autoSpaceDE w:val="0"/>
        <w:adjustRightInd w:val="0"/>
        <w:spacing w:after="0" w:line="600" w:lineRule="exact"/>
        <w:ind w:firstLine="640" w:firstLineChars="200"/>
        <w:jc w:val="both"/>
        <w:rPr>
          <w:rFonts w:hint="default" w:ascii="Times New Roman" w:hAnsi="Times New Roman" w:eastAsia="仿宋_GB2312" w:cs="Times New Roman"/>
          <w:kern w:val="44"/>
          <w:sz w:val="32"/>
          <w:szCs w:val="32"/>
        </w:rPr>
      </w:pPr>
      <w:r>
        <w:rPr>
          <w:rFonts w:hint="default" w:ascii="Times New Roman" w:hAnsi="Times New Roman" w:eastAsia="黑体" w:cs="Times New Roman"/>
          <w:color w:val="000000"/>
          <w:kern w:val="0"/>
          <w:sz w:val="32"/>
          <w:szCs w:val="32"/>
          <w:lang w:val="en-US" w:eastAsia="zh-CN"/>
        </w:rPr>
        <w:t>5</w:t>
      </w:r>
      <w:r>
        <w:rPr>
          <w:rFonts w:hint="default" w:ascii="Times New Roman" w:hAnsi="Times New Roman" w:eastAsia="黑体" w:cs="Times New Roman"/>
          <w:color w:val="000000"/>
          <w:kern w:val="0"/>
          <w:sz w:val="32"/>
          <w:szCs w:val="32"/>
        </w:rPr>
        <w:t>. “两产两进两强”</w:t>
      </w:r>
      <w:r>
        <w:rPr>
          <w:rFonts w:hint="default" w:ascii="Times New Roman" w:hAnsi="Times New Roman" w:eastAsia="仿宋_GB2312" w:cs="Times New Roman"/>
          <w:kern w:val="44"/>
          <w:sz w:val="32"/>
          <w:szCs w:val="32"/>
        </w:rPr>
        <w:t>：</w:t>
      </w:r>
      <w:r>
        <w:rPr>
          <w:rFonts w:hint="default" w:ascii="Times New Roman" w:hAnsi="Times New Roman" w:eastAsia="仿宋_GB2312" w:cs="Times New Roman"/>
          <w:color w:val="000000"/>
          <w:kern w:val="0"/>
          <w:sz w:val="32"/>
          <w:szCs w:val="32"/>
        </w:rPr>
        <w:t>即企业扩产、投产，项目引进、推进，招大引强、培优育强。</w:t>
      </w:r>
    </w:p>
    <w:p w14:paraId="24523DD3">
      <w:pPr>
        <w:widowControl/>
        <w:autoSpaceDE w:val="0"/>
        <w:adjustRightInd w:val="0"/>
        <w:spacing w:after="0" w:line="600" w:lineRule="exact"/>
        <w:ind w:firstLine="640" w:firstLineChars="200"/>
        <w:jc w:val="both"/>
        <w:rPr>
          <w:rFonts w:hint="default" w:ascii="Times New Roman" w:hAnsi="Times New Roman" w:eastAsia="仿宋_GB2312" w:cs="Times New Roman"/>
          <w:kern w:val="44"/>
          <w:sz w:val="32"/>
          <w:szCs w:val="32"/>
        </w:rPr>
      </w:pPr>
      <w:r>
        <w:rPr>
          <w:rFonts w:hint="default" w:ascii="Times New Roman" w:hAnsi="Times New Roman" w:eastAsia="黑体" w:cs="Times New Roman"/>
          <w:color w:val="000000"/>
          <w:kern w:val="0"/>
          <w:sz w:val="32"/>
          <w:szCs w:val="32"/>
          <w:lang w:val="en-US" w:eastAsia="zh-CN"/>
        </w:rPr>
        <w:t>6</w:t>
      </w:r>
      <w:r>
        <w:rPr>
          <w:rFonts w:hint="default" w:ascii="Times New Roman" w:hAnsi="Times New Roman" w:eastAsia="黑体" w:cs="Times New Roman"/>
          <w:color w:val="000000"/>
          <w:kern w:val="0"/>
          <w:sz w:val="32"/>
          <w:szCs w:val="32"/>
        </w:rPr>
        <w:t>. “数据得地”</w:t>
      </w:r>
      <w:r>
        <w:rPr>
          <w:rFonts w:hint="default" w:ascii="Times New Roman" w:hAnsi="Times New Roman" w:eastAsia="仿宋_GB2312" w:cs="Times New Roman"/>
          <w:color w:val="000000"/>
          <w:kern w:val="0"/>
          <w:sz w:val="32"/>
          <w:szCs w:val="32"/>
        </w:rPr>
        <w:t>：围绕企业成长、经济效益、技术创新、质量建设、转型升级等内容，对有用地需求的企业进行量化评估，根据综合赋分排名，确保有限土地资源优先向“发展前景好、产值增长快、亩均效益高”的项目集聚，着力解决优质企业用地难问题。</w:t>
      </w:r>
    </w:p>
    <w:p w14:paraId="72A5158D">
      <w:pPr>
        <w:widowControl/>
        <w:autoSpaceDE w:val="0"/>
        <w:adjustRightInd w:val="0"/>
        <w:spacing w:after="0" w:line="600" w:lineRule="exact"/>
        <w:ind w:firstLine="640" w:firstLineChars="200"/>
        <w:jc w:val="both"/>
        <w:rPr>
          <w:rFonts w:hint="default" w:ascii="Times New Roman" w:hAnsi="Times New Roman" w:eastAsia="仿宋_GB2312" w:cs="Times New Roman"/>
          <w:color w:val="000000"/>
          <w:kern w:val="0"/>
          <w:sz w:val="32"/>
          <w:szCs w:val="32"/>
        </w:rPr>
      </w:pPr>
      <w:r>
        <w:rPr>
          <w:rFonts w:hint="default" w:ascii="Times New Roman" w:hAnsi="Times New Roman" w:eastAsia="黑体" w:cs="Times New Roman"/>
          <w:color w:val="000000"/>
          <w:kern w:val="0"/>
          <w:sz w:val="32"/>
          <w:szCs w:val="32"/>
          <w:lang w:val="en-US" w:eastAsia="zh-CN"/>
        </w:rPr>
        <w:t>7</w:t>
      </w:r>
      <w:r>
        <w:rPr>
          <w:rFonts w:hint="default" w:ascii="Times New Roman" w:hAnsi="Times New Roman" w:eastAsia="黑体" w:cs="Times New Roman"/>
          <w:color w:val="000000"/>
          <w:kern w:val="0"/>
          <w:sz w:val="32"/>
          <w:szCs w:val="32"/>
        </w:rPr>
        <w:t>. “综合查一次”</w:t>
      </w:r>
      <w:r>
        <w:rPr>
          <w:rFonts w:hint="default" w:ascii="Times New Roman" w:hAnsi="Times New Roman" w:eastAsia="仿宋_GB2312" w:cs="Times New Roman"/>
          <w:color w:val="000000"/>
          <w:kern w:val="0"/>
          <w:sz w:val="32"/>
          <w:szCs w:val="32"/>
        </w:rPr>
        <w:t>：通过一次执法检查，将被检企业所有涉及综合执法重点监管领域的检查事项集中进行检查</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达到避免重复检查、规范执法行为、提升执法效率、减轻企业负担的目的｡</w:t>
      </w:r>
    </w:p>
    <w:p w14:paraId="51DAF812">
      <w:pPr>
        <w:widowControl/>
        <w:autoSpaceDE w:val="0"/>
        <w:adjustRightInd w:val="0"/>
        <w:spacing w:after="0" w:line="600" w:lineRule="exact"/>
        <w:ind w:firstLine="640" w:firstLineChars="200"/>
        <w:jc w:val="both"/>
        <w:rPr>
          <w:rFonts w:hint="default" w:ascii="Times New Roman" w:hAnsi="Times New Roman" w:eastAsia="黑体" w:cs="Times New Roman"/>
          <w:color w:val="000000"/>
          <w:kern w:val="0"/>
          <w:sz w:val="32"/>
          <w:szCs w:val="32"/>
        </w:rPr>
      </w:pPr>
      <w:r>
        <w:rPr>
          <w:rFonts w:hint="default" w:ascii="Times New Roman" w:hAnsi="Times New Roman" w:eastAsia="黑体" w:cs="Times New Roman"/>
          <w:color w:val="000000"/>
          <w:kern w:val="0"/>
          <w:sz w:val="32"/>
          <w:szCs w:val="32"/>
          <w:lang w:val="en-US" w:eastAsia="zh-CN"/>
        </w:rPr>
        <w:t>8</w:t>
      </w:r>
      <w:r>
        <w:rPr>
          <w:rFonts w:hint="default" w:ascii="Times New Roman" w:hAnsi="Times New Roman" w:eastAsia="黑体" w:cs="Times New Roman"/>
          <w:color w:val="000000"/>
          <w:kern w:val="0"/>
          <w:sz w:val="32"/>
          <w:szCs w:val="32"/>
        </w:rPr>
        <w:t>. “1+11+N”投资促进工作体系</w:t>
      </w:r>
      <w:r>
        <w:rPr>
          <w:rFonts w:hint="default" w:ascii="Times New Roman" w:hAnsi="Times New Roman" w:eastAsia="仿宋_GB2312" w:cs="Times New Roman"/>
          <w:color w:val="000000"/>
          <w:kern w:val="0"/>
          <w:sz w:val="32"/>
          <w:szCs w:val="32"/>
        </w:rPr>
        <w:t>：即</w:t>
      </w:r>
      <w:r>
        <w:rPr>
          <w:rFonts w:hint="default" w:ascii="Times New Roman" w:hAnsi="Times New Roman" w:eastAsia="宋体" w:cs="Times New Roman"/>
          <w:color w:val="000000"/>
          <w:kern w:val="44"/>
          <w:sz w:val="32"/>
          <w:szCs w:val="32"/>
        </w:rPr>
        <w:t>1</w:t>
      </w:r>
      <w:r>
        <w:rPr>
          <w:rFonts w:hint="default" w:ascii="Times New Roman" w:hAnsi="Times New Roman" w:eastAsia="仿宋_GB2312" w:cs="Times New Roman"/>
          <w:color w:val="000000"/>
          <w:kern w:val="44"/>
          <w:sz w:val="32"/>
          <w:szCs w:val="32"/>
        </w:rPr>
        <w:t>个要素保障工作小组、</w:t>
      </w:r>
      <w:r>
        <w:rPr>
          <w:rFonts w:hint="default" w:ascii="Times New Roman" w:hAnsi="Times New Roman" w:eastAsia="宋体" w:cs="Times New Roman"/>
          <w:color w:val="000000"/>
          <w:kern w:val="44"/>
          <w:sz w:val="32"/>
          <w:szCs w:val="32"/>
        </w:rPr>
        <w:t>11</w:t>
      </w:r>
      <w:r>
        <w:rPr>
          <w:rFonts w:hint="default" w:ascii="Times New Roman" w:hAnsi="Times New Roman" w:eastAsia="仿宋_GB2312" w:cs="Times New Roman"/>
          <w:color w:val="000000"/>
          <w:kern w:val="44"/>
          <w:sz w:val="32"/>
          <w:szCs w:val="32"/>
        </w:rPr>
        <w:t>个重点业务领域工作小组、</w:t>
      </w:r>
      <w:r>
        <w:rPr>
          <w:rFonts w:hint="default" w:ascii="Times New Roman" w:hAnsi="Times New Roman" w:eastAsia="宋体" w:cs="Times New Roman"/>
          <w:color w:val="000000"/>
          <w:kern w:val="44"/>
          <w:sz w:val="32"/>
          <w:szCs w:val="32"/>
        </w:rPr>
        <w:t>N</w:t>
      </w:r>
      <w:r>
        <w:rPr>
          <w:rFonts w:hint="default" w:ascii="Times New Roman" w:hAnsi="Times New Roman" w:eastAsia="仿宋_GB2312" w:cs="Times New Roman"/>
          <w:color w:val="000000"/>
          <w:kern w:val="44"/>
          <w:sz w:val="32"/>
          <w:szCs w:val="32"/>
        </w:rPr>
        <w:t>个相关部门成员单位。</w:t>
      </w:r>
    </w:p>
    <w:p w14:paraId="06568D60">
      <w:pPr>
        <w:widowControl/>
        <w:autoSpaceDE w:val="0"/>
        <w:adjustRightInd w:val="0"/>
        <w:spacing w:after="0" w:line="600" w:lineRule="exact"/>
        <w:ind w:firstLine="640" w:firstLineChars="200"/>
        <w:jc w:val="both"/>
        <w:rPr>
          <w:rFonts w:hint="default" w:ascii="Times New Roman" w:hAnsi="Times New Roman" w:eastAsia="仿宋_GB2312" w:cs="Times New Roman"/>
          <w:kern w:val="44"/>
          <w:sz w:val="32"/>
          <w:szCs w:val="32"/>
        </w:rPr>
      </w:pPr>
      <w:r>
        <w:rPr>
          <w:rFonts w:hint="default" w:ascii="Times New Roman" w:hAnsi="Times New Roman" w:eastAsia="黑体" w:cs="Times New Roman"/>
          <w:color w:val="000000"/>
          <w:kern w:val="0"/>
          <w:sz w:val="32"/>
          <w:szCs w:val="32"/>
          <w:lang w:val="en-US" w:eastAsia="zh-CN"/>
        </w:rPr>
        <w:t>9</w:t>
      </w:r>
      <w:r>
        <w:rPr>
          <w:rFonts w:hint="default" w:ascii="Times New Roman" w:hAnsi="Times New Roman" w:eastAsia="黑体" w:cs="Times New Roman"/>
          <w:color w:val="000000"/>
          <w:kern w:val="0"/>
          <w:sz w:val="32"/>
          <w:szCs w:val="32"/>
        </w:rPr>
        <w:t>. “新三件套”</w:t>
      </w:r>
      <w:r>
        <w:rPr>
          <w:rFonts w:hint="default" w:ascii="Times New Roman" w:hAnsi="Times New Roman" w:eastAsia="仿宋_GB2312" w:cs="Times New Roman"/>
          <w:color w:val="000000"/>
          <w:kern w:val="0"/>
          <w:sz w:val="32"/>
          <w:szCs w:val="32"/>
        </w:rPr>
        <w:t>：</w:t>
      </w:r>
      <w:r>
        <w:rPr>
          <w:rFonts w:hint="default" w:ascii="Times New Roman" w:hAnsi="Times New Roman" w:eastAsia="仿宋_GB2312" w:cs="Times New Roman"/>
          <w:kern w:val="44"/>
          <w:sz w:val="32"/>
          <w:szCs w:val="32"/>
        </w:rPr>
        <w:t>消防长钩、锂电池专用灭火器、智能AI摄像头。</w:t>
      </w:r>
    </w:p>
    <w:p w14:paraId="411E0EA0">
      <w:pPr>
        <w:widowControl/>
        <w:autoSpaceDE w:val="0"/>
        <w:adjustRightInd w:val="0"/>
        <w:spacing w:after="0" w:line="600" w:lineRule="exact"/>
        <w:ind w:firstLine="640" w:firstLineChars="200"/>
        <w:jc w:val="both"/>
        <w:rPr>
          <w:rFonts w:hint="default" w:ascii="Times New Roman" w:hAnsi="Times New Roman" w:eastAsia="仿宋_GB2312" w:cs="Times New Roman"/>
          <w:color w:val="000000"/>
          <w:kern w:val="0"/>
          <w:sz w:val="32"/>
          <w:szCs w:val="32"/>
        </w:rPr>
      </w:pPr>
      <w:r>
        <w:rPr>
          <w:rFonts w:hint="default" w:ascii="Times New Roman" w:hAnsi="Times New Roman" w:eastAsia="黑体" w:cs="Times New Roman"/>
          <w:color w:val="000000"/>
          <w:kern w:val="0"/>
          <w:sz w:val="32"/>
          <w:szCs w:val="32"/>
          <w:lang w:val="en-US" w:eastAsia="zh-CN"/>
        </w:rPr>
        <w:t>10</w:t>
      </w:r>
      <w:r>
        <w:rPr>
          <w:rFonts w:hint="default" w:ascii="Times New Roman" w:hAnsi="Times New Roman" w:eastAsia="黑体" w:cs="Times New Roman"/>
          <w:color w:val="000000"/>
          <w:kern w:val="0"/>
          <w:sz w:val="32"/>
          <w:szCs w:val="32"/>
        </w:rPr>
        <w:t>. “五百行动”</w:t>
      </w:r>
      <w:r>
        <w:rPr>
          <w:rFonts w:hint="default" w:ascii="Times New Roman" w:hAnsi="Times New Roman" w:eastAsia="仿宋_GB2312" w:cs="Times New Roman"/>
          <w:color w:val="000000"/>
          <w:kern w:val="0"/>
          <w:sz w:val="32"/>
          <w:szCs w:val="32"/>
        </w:rPr>
        <w:t>：产业赋能“百村共兴”、人居环境“百村共美”、强村富民“百村共富”、文明和谐“百村共治”、城乡融合“百村共享”。</w:t>
      </w:r>
    </w:p>
    <w:p w14:paraId="518A6FE5">
      <w:pPr>
        <w:widowControl/>
        <w:autoSpaceDE w:val="0"/>
        <w:adjustRightInd w:val="0"/>
        <w:spacing w:after="0" w:line="600" w:lineRule="exact"/>
        <w:ind w:firstLine="640" w:firstLineChars="200"/>
        <w:jc w:val="both"/>
        <w:rPr>
          <w:rFonts w:hint="default" w:ascii="Times New Roman" w:hAnsi="Times New Roman" w:eastAsia="仿宋_GB2312" w:cs="Times New Roman"/>
          <w:sz w:val="32"/>
          <w:szCs w:val="32"/>
          <w:lang w:eastAsia="zh-CN"/>
        </w:rPr>
      </w:pPr>
      <w:r>
        <w:rPr>
          <w:rFonts w:hint="default" w:ascii="Times New Roman" w:hAnsi="Times New Roman" w:eastAsia="黑体" w:cs="Times New Roman"/>
          <w:color w:val="000000"/>
          <w:kern w:val="0"/>
          <w:sz w:val="32"/>
          <w:szCs w:val="32"/>
        </w:rPr>
        <w:t>1</w:t>
      </w:r>
      <w:r>
        <w:rPr>
          <w:rFonts w:hint="default" w:ascii="Times New Roman" w:hAnsi="Times New Roman" w:eastAsia="黑体" w:cs="Times New Roman"/>
          <w:color w:val="000000"/>
          <w:kern w:val="0"/>
          <w:sz w:val="32"/>
          <w:szCs w:val="32"/>
          <w:lang w:val="en-US" w:eastAsia="zh-CN"/>
        </w:rPr>
        <w:t>1</w:t>
      </w:r>
      <w:r>
        <w:rPr>
          <w:rFonts w:hint="default" w:ascii="Times New Roman" w:hAnsi="Times New Roman" w:eastAsia="黑体" w:cs="Times New Roman"/>
          <w:color w:val="000000"/>
          <w:kern w:val="0"/>
          <w:sz w:val="32"/>
          <w:szCs w:val="32"/>
        </w:rPr>
        <w:t>. “3个跨县域片区、5个跨镇域片区”</w:t>
      </w:r>
      <w:r>
        <w:rPr>
          <w:rFonts w:hint="default" w:ascii="Times New Roman" w:hAnsi="Times New Roman" w:eastAsia="仿宋_GB2312" w:cs="Times New Roman"/>
          <w:color w:val="000000"/>
          <w:kern w:val="0"/>
          <w:sz w:val="32"/>
          <w:szCs w:val="32"/>
        </w:rPr>
        <w:t>：</w:t>
      </w:r>
      <w:r>
        <w:rPr>
          <w:rFonts w:hint="default" w:ascii="Times New Roman" w:hAnsi="Times New Roman" w:eastAsia="仿宋_GB2312" w:cs="Times New Roman"/>
          <w:sz w:val="32"/>
          <w:szCs w:val="32"/>
        </w:rPr>
        <w:t>跨县域片区即澄湖片区</w:t>
      </w:r>
      <w:r>
        <w:rPr>
          <w:rFonts w:hint="default" w:ascii="Times New Roman" w:hAnsi="Times New Roman" w:eastAsia="仿宋_GB2312" w:cs="Times New Roman"/>
          <w:position w:val="1"/>
          <w:sz w:val="32"/>
          <w:szCs w:val="32"/>
        </w:rPr>
        <w:t>、</w:t>
      </w:r>
      <w:r>
        <w:rPr>
          <w:rFonts w:hint="default" w:ascii="Times New Roman" w:hAnsi="Times New Roman" w:eastAsia="仿宋_GB2312" w:cs="Times New Roman"/>
          <w:sz w:val="32"/>
          <w:szCs w:val="32"/>
        </w:rPr>
        <w:t>太昆常片区</w:t>
      </w:r>
      <w:r>
        <w:rPr>
          <w:rFonts w:hint="default" w:ascii="Times New Roman" w:hAnsi="Times New Roman" w:eastAsia="仿宋_GB2312" w:cs="Times New Roman"/>
          <w:position w:val="1"/>
          <w:sz w:val="32"/>
          <w:szCs w:val="32"/>
        </w:rPr>
        <w:t>、</w:t>
      </w:r>
      <w:r>
        <w:rPr>
          <w:rFonts w:hint="default" w:ascii="Times New Roman" w:hAnsi="Times New Roman" w:eastAsia="仿宋_GB2312" w:cs="Times New Roman"/>
          <w:sz w:val="32"/>
          <w:szCs w:val="32"/>
        </w:rPr>
        <w:t>阳澄湖片区</w:t>
      </w:r>
      <w:r>
        <w:rPr>
          <w:rFonts w:hint="default" w:ascii="Times New Roman" w:hAnsi="Times New Roman" w:eastAsia="仿宋_GB2312" w:cs="Times New Roman"/>
          <w:position w:val="1"/>
          <w:sz w:val="32"/>
          <w:szCs w:val="32"/>
        </w:rPr>
        <w:t>；</w:t>
      </w:r>
      <w:r>
        <w:rPr>
          <w:rFonts w:hint="default" w:ascii="Times New Roman" w:hAnsi="Times New Roman" w:eastAsia="仿宋_GB2312" w:cs="Times New Roman"/>
          <w:sz w:val="32"/>
          <w:szCs w:val="32"/>
        </w:rPr>
        <w:t>跨镇域片区即澄淀片区</w:t>
      </w:r>
      <w:r>
        <w:rPr>
          <w:rFonts w:hint="default" w:ascii="Times New Roman" w:hAnsi="Times New Roman" w:eastAsia="仿宋_GB2312" w:cs="Times New Roman"/>
          <w:position w:val="1"/>
          <w:sz w:val="32"/>
          <w:szCs w:val="32"/>
        </w:rPr>
        <w:t>、</w:t>
      </w:r>
      <w:r>
        <w:rPr>
          <w:rFonts w:hint="default" w:ascii="Times New Roman" w:hAnsi="Times New Roman" w:eastAsia="仿宋_GB2312" w:cs="Times New Roman"/>
          <w:sz w:val="32"/>
          <w:szCs w:val="32"/>
        </w:rPr>
        <w:t>昆韵蟹肥片区</w:t>
      </w:r>
      <w:r>
        <w:rPr>
          <w:rFonts w:hint="default" w:ascii="Times New Roman" w:hAnsi="Times New Roman" w:eastAsia="仿宋_GB2312" w:cs="Times New Roman"/>
          <w:position w:val="1"/>
          <w:sz w:val="32"/>
          <w:szCs w:val="32"/>
        </w:rPr>
        <w:t>、</w:t>
      </w:r>
      <w:r>
        <w:rPr>
          <w:rFonts w:hint="default" w:ascii="Times New Roman" w:hAnsi="Times New Roman" w:eastAsia="仿宋_GB2312" w:cs="Times New Roman"/>
          <w:sz w:val="32"/>
          <w:szCs w:val="32"/>
        </w:rPr>
        <w:t>滨江野趣片区</w:t>
      </w:r>
      <w:r>
        <w:rPr>
          <w:rFonts w:hint="default" w:ascii="Times New Roman" w:hAnsi="Times New Roman" w:eastAsia="仿宋_GB2312" w:cs="Times New Roman"/>
          <w:position w:val="1"/>
          <w:sz w:val="32"/>
          <w:szCs w:val="32"/>
        </w:rPr>
        <w:t>、</w:t>
      </w:r>
      <w:r>
        <w:rPr>
          <w:rFonts w:hint="default" w:ascii="Times New Roman" w:hAnsi="Times New Roman" w:eastAsia="仿宋_GB2312" w:cs="Times New Roman"/>
          <w:sz w:val="32"/>
          <w:szCs w:val="32"/>
        </w:rPr>
        <w:t>吴淞农创片区</w:t>
      </w:r>
      <w:r>
        <w:rPr>
          <w:rFonts w:hint="default" w:ascii="Times New Roman" w:hAnsi="Times New Roman" w:eastAsia="仿宋_GB2312" w:cs="Times New Roman"/>
          <w:position w:val="1"/>
          <w:sz w:val="32"/>
          <w:szCs w:val="32"/>
        </w:rPr>
        <w:t>、</w:t>
      </w:r>
      <w:r>
        <w:rPr>
          <w:rFonts w:hint="default" w:ascii="Times New Roman" w:hAnsi="Times New Roman" w:eastAsia="仿宋_GB2312" w:cs="Times New Roman"/>
          <w:sz w:val="32"/>
          <w:szCs w:val="32"/>
        </w:rPr>
        <w:t>稻菽丰稔片区</w:t>
      </w:r>
      <w:r>
        <w:rPr>
          <w:rFonts w:hint="default" w:ascii="Times New Roman" w:hAnsi="Times New Roman" w:eastAsia="仿宋_GB2312" w:cs="Times New Roman"/>
          <w:sz w:val="32"/>
          <w:szCs w:val="32"/>
          <w:lang w:eastAsia="zh-CN"/>
        </w:rPr>
        <w:t>。</w:t>
      </w:r>
    </w:p>
    <w:p w14:paraId="765E9BD1">
      <w:pPr>
        <w:widowControl/>
        <w:autoSpaceDE w:val="0"/>
        <w:adjustRightInd w:val="0"/>
        <w:spacing w:after="0" w:line="600" w:lineRule="exact"/>
        <w:ind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黑体" w:cs="Times New Roman"/>
          <w:color w:val="000000"/>
          <w:kern w:val="0"/>
          <w:sz w:val="32"/>
          <w:szCs w:val="32"/>
          <w:lang w:val="en-US" w:eastAsia="zh-CN"/>
        </w:rPr>
        <w:t>12</w:t>
      </w:r>
      <w:r>
        <w:rPr>
          <w:rFonts w:hint="default" w:ascii="Times New Roman" w:hAnsi="Times New Roman" w:eastAsia="黑体" w:cs="Times New Roman"/>
          <w:color w:val="000000"/>
          <w:kern w:val="0"/>
          <w:sz w:val="32"/>
          <w:szCs w:val="32"/>
        </w:rPr>
        <w:t>. “2·15”专项行动</w:t>
      </w:r>
      <w:r>
        <w:rPr>
          <w:rFonts w:hint="default" w:ascii="Times New Roman" w:hAnsi="Times New Roman" w:eastAsia="仿宋_GB2312" w:cs="Times New Roman"/>
          <w:color w:val="000000"/>
          <w:kern w:val="0"/>
          <w:sz w:val="32"/>
          <w:szCs w:val="32"/>
        </w:rPr>
        <w:t>：</w:t>
      </w:r>
      <w:r>
        <w:rPr>
          <w:rFonts w:hint="default" w:ascii="Times New Roman" w:hAnsi="Times New Roman" w:eastAsia="仿宋_GB2312" w:cs="Times New Roman"/>
          <w:kern w:val="0"/>
          <w:sz w:val="32"/>
          <w:szCs w:val="32"/>
        </w:rPr>
        <w:t>保证中小学生每天综合体育活动时间不低于2小时，课间活动时间15分钟。</w:t>
      </w:r>
    </w:p>
    <w:p w14:paraId="4B2EE65A">
      <w:pPr>
        <w:widowControl/>
        <w:autoSpaceDE w:val="0"/>
        <w:adjustRightInd w:val="0"/>
        <w:spacing w:after="0" w:line="600" w:lineRule="exact"/>
        <w:ind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w:t>
      </w:r>
      <w:r>
        <w:rPr>
          <w:rFonts w:hint="default" w:ascii="Times New Roman" w:hAnsi="Times New Roman" w:eastAsia="仿宋_GB2312" w:cs="Times New Roman"/>
          <w:kern w:val="0"/>
          <w:sz w:val="32"/>
          <w:szCs w:val="32"/>
          <w:lang w:val="en-US" w:eastAsia="zh-CN"/>
        </w:rPr>
        <w:t>3</w:t>
      </w:r>
      <w:r>
        <w:rPr>
          <w:rFonts w:hint="default" w:ascii="Times New Roman" w:hAnsi="Times New Roman" w:eastAsia="仿宋_GB2312" w:cs="Times New Roman"/>
          <w:kern w:val="0"/>
          <w:sz w:val="32"/>
          <w:szCs w:val="32"/>
        </w:rPr>
        <w:t xml:space="preserve">. </w:t>
      </w:r>
      <w:r>
        <w:rPr>
          <w:rFonts w:hint="default" w:ascii="Times New Roman" w:hAnsi="Times New Roman" w:eastAsia="黑体" w:cs="Times New Roman"/>
          <w:color w:val="000000"/>
          <w:kern w:val="0"/>
          <w:sz w:val="32"/>
          <w:szCs w:val="32"/>
        </w:rPr>
        <w:t>“3+2”品质优居专项行动</w:t>
      </w:r>
      <w:r>
        <w:rPr>
          <w:rFonts w:hint="default" w:ascii="Times New Roman" w:hAnsi="Times New Roman" w:eastAsia="仿宋_GB2312" w:cs="Times New Roman"/>
          <w:kern w:val="0"/>
          <w:sz w:val="32"/>
          <w:szCs w:val="32"/>
        </w:rPr>
        <w:t>：企业集宿区、青年人才公寓、高端研发人才公寓以及养老房、陪读房五类产品。</w:t>
      </w:r>
    </w:p>
    <w:p w14:paraId="36018BF2">
      <w:pPr>
        <w:widowControl/>
        <w:autoSpaceDE w:val="0"/>
        <w:adjustRightInd w:val="0"/>
        <w:spacing w:after="0" w:line="600" w:lineRule="exact"/>
        <w:ind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w:t>
      </w:r>
      <w:r>
        <w:rPr>
          <w:rFonts w:hint="default" w:ascii="Times New Roman" w:hAnsi="Times New Roman" w:eastAsia="仿宋_GB2312" w:cs="Times New Roman"/>
          <w:kern w:val="0"/>
          <w:sz w:val="32"/>
          <w:szCs w:val="32"/>
          <w:lang w:val="en-US" w:eastAsia="zh-CN"/>
        </w:rPr>
        <w:t>4</w:t>
      </w:r>
      <w:r>
        <w:rPr>
          <w:rFonts w:hint="default" w:ascii="Times New Roman" w:hAnsi="Times New Roman" w:eastAsia="仿宋_GB2312" w:cs="Times New Roman"/>
          <w:kern w:val="0"/>
          <w:sz w:val="32"/>
          <w:szCs w:val="32"/>
        </w:rPr>
        <w:t xml:space="preserve">. </w:t>
      </w:r>
      <w:r>
        <w:rPr>
          <w:rFonts w:hint="default" w:ascii="Times New Roman" w:hAnsi="Times New Roman" w:eastAsia="黑体" w:cs="Times New Roman"/>
          <w:color w:val="000000"/>
          <w:kern w:val="0"/>
          <w:sz w:val="32"/>
          <w:szCs w:val="32"/>
        </w:rPr>
        <w:t>文化强市“833”计划</w:t>
      </w:r>
      <w:r>
        <w:rPr>
          <w:rFonts w:hint="default" w:ascii="Times New Roman" w:hAnsi="Times New Roman" w:eastAsia="仿宋_GB2312" w:cs="Times New Roman"/>
          <w:kern w:val="0"/>
          <w:sz w:val="32"/>
          <w:szCs w:val="32"/>
        </w:rPr>
        <w:t>：全面开展8个专项行动，实施30个重点工程，落实“重点指标、重点项目、重点任务”3张工作清单。</w:t>
      </w:r>
    </w:p>
    <w:p w14:paraId="571424AC">
      <w:pPr>
        <w:widowControl/>
        <w:autoSpaceDE w:val="0"/>
        <w:adjustRightInd w:val="0"/>
        <w:spacing w:after="0" w:line="600" w:lineRule="exact"/>
        <w:ind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w:t>
      </w:r>
      <w:r>
        <w:rPr>
          <w:rFonts w:hint="default" w:ascii="Times New Roman" w:hAnsi="Times New Roman" w:eastAsia="仿宋_GB2312" w:cs="Times New Roman"/>
          <w:kern w:val="0"/>
          <w:sz w:val="32"/>
          <w:szCs w:val="32"/>
          <w:lang w:val="en-US" w:eastAsia="zh-CN"/>
        </w:rPr>
        <w:t>5</w:t>
      </w:r>
      <w:r>
        <w:rPr>
          <w:rFonts w:hint="default" w:ascii="Times New Roman" w:hAnsi="Times New Roman" w:eastAsia="仿宋_GB2312" w:cs="Times New Roman"/>
          <w:kern w:val="0"/>
          <w:sz w:val="32"/>
          <w:szCs w:val="32"/>
        </w:rPr>
        <w:t xml:space="preserve">. </w:t>
      </w:r>
      <w:r>
        <w:rPr>
          <w:rFonts w:hint="default" w:ascii="Times New Roman" w:hAnsi="Times New Roman" w:eastAsia="黑体" w:cs="Times New Roman"/>
          <w:color w:val="000000"/>
          <w:kern w:val="0"/>
          <w:sz w:val="32"/>
          <w:szCs w:val="32"/>
        </w:rPr>
        <w:t>“应急365”综合管理平台</w:t>
      </w:r>
      <w:r>
        <w:rPr>
          <w:rFonts w:hint="default" w:ascii="Times New Roman" w:hAnsi="Times New Roman" w:eastAsia="仿宋_GB2312" w:cs="Times New Roman"/>
          <w:kern w:val="0"/>
          <w:sz w:val="32"/>
          <w:szCs w:val="32"/>
        </w:rPr>
        <w:t>：全市安全生产和应急管理的信息化、智能化平台，该平台从行政管理、技术参数、制度执行、风险管控层面，对企业履职情况和现场管理情况进行智能分析和报警，动态监测企业安全管理运行情况，逐步实现24小时全流程监管，提升安全监管效能。</w:t>
      </w:r>
    </w:p>
    <w:p w14:paraId="2D1F1F77">
      <w:pPr>
        <w:widowControl/>
        <w:autoSpaceDE w:val="0"/>
        <w:adjustRightInd w:val="0"/>
        <w:spacing w:after="0" w:line="600" w:lineRule="exact"/>
        <w:ind w:firstLine="640" w:firstLineChars="200"/>
        <w:jc w:val="both"/>
        <w:rPr>
          <w:rFonts w:hint="default" w:ascii="Times New Roman" w:hAnsi="Times New Roman" w:eastAsia="仿宋_GB2312" w:cs="Times New Roman"/>
          <w:color w:val="000000"/>
          <w:kern w:val="0"/>
          <w:sz w:val="32"/>
          <w:szCs w:val="32"/>
        </w:rPr>
      </w:pPr>
      <w:r>
        <w:rPr>
          <w:rFonts w:hint="default" w:ascii="Times New Roman" w:hAnsi="Times New Roman" w:eastAsia="黑体" w:cs="Times New Roman"/>
          <w:color w:val="000000"/>
          <w:kern w:val="0"/>
          <w:sz w:val="32"/>
          <w:szCs w:val="32"/>
        </w:rPr>
        <w:t>1</w:t>
      </w:r>
      <w:r>
        <w:rPr>
          <w:rFonts w:hint="default" w:ascii="Times New Roman" w:hAnsi="Times New Roman" w:eastAsia="黑体" w:cs="Times New Roman"/>
          <w:color w:val="000000"/>
          <w:kern w:val="0"/>
          <w:sz w:val="32"/>
          <w:szCs w:val="32"/>
          <w:lang w:val="en-US" w:eastAsia="zh-CN"/>
        </w:rPr>
        <w:t>6</w:t>
      </w:r>
      <w:r>
        <w:rPr>
          <w:rFonts w:hint="default" w:ascii="Times New Roman" w:hAnsi="Times New Roman" w:eastAsia="黑体" w:cs="Times New Roman"/>
          <w:color w:val="000000"/>
          <w:kern w:val="0"/>
          <w:sz w:val="32"/>
          <w:szCs w:val="32"/>
        </w:rPr>
        <w:t>. 安全生产“六化”</w:t>
      </w:r>
      <w:r>
        <w:rPr>
          <w:rFonts w:hint="default" w:ascii="Times New Roman" w:hAnsi="Times New Roman" w:eastAsia="仿宋_GB2312" w:cs="Times New Roman"/>
          <w:color w:val="000000"/>
          <w:kern w:val="0"/>
          <w:sz w:val="32"/>
          <w:szCs w:val="32"/>
        </w:rPr>
        <w:t>：加强安全生产网格化、专业化、数字化监管，抓好企业主体全员化、实体化、手册化建设｡</w:t>
      </w:r>
    </w:p>
    <w:p w14:paraId="32CD3CE3">
      <w:pPr>
        <w:widowControl/>
        <w:autoSpaceDE w:val="0"/>
        <w:adjustRightInd w:val="0"/>
        <w:spacing w:after="0" w:line="600" w:lineRule="exact"/>
        <w:ind w:firstLine="616" w:firstLineChars="200"/>
        <w:jc w:val="both"/>
        <w:rPr>
          <w:rFonts w:hint="default" w:ascii="Times New Roman" w:hAnsi="Times New Roman" w:eastAsia="宋体" w:cs="Times New Roman"/>
          <w:color w:val="000000"/>
          <w:spacing w:val="-6"/>
          <w:kern w:val="0"/>
          <w:sz w:val="32"/>
          <w:szCs w:val="32"/>
        </w:rPr>
      </w:pPr>
      <w:r>
        <w:rPr>
          <w:rFonts w:hint="default" w:ascii="Times New Roman" w:hAnsi="Times New Roman" w:eastAsia="黑体" w:cs="Times New Roman"/>
          <w:color w:val="000000"/>
          <w:spacing w:val="-6"/>
          <w:kern w:val="0"/>
          <w:sz w:val="32"/>
          <w:szCs w:val="32"/>
        </w:rPr>
        <w:t>1</w:t>
      </w:r>
      <w:r>
        <w:rPr>
          <w:rFonts w:hint="default" w:ascii="Times New Roman" w:hAnsi="Times New Roman" w:eastAsia="黑体" w:cs="Times New Roman"/>
          <w:color w:val="000000"/>
          <w:spacing w:val="-6"/>
          <w:kern w:val="0"/>
          <w:sz w:val="32"/>
          <w:szCs w:val="32"/>
          <w:lang w:val="en-US" w:eastAsia="zh-CN"/>
        </w:rPr>
        <w:t>7</w:t>
      </w:r>
      <w:r>
        <w:rPr>
          <w:rFonts w:hint="default" w:ascii="Times New Roman" w:hAnsi="Times New Roman" w:eastAsia="黑体" w:cs="Times New Roman"/>
          <w:color w:val="000000"/>
          <w:spacing w:val="-6"/>
          <w:kern w:val="0"/>
          <w:sz w:val="32"/>
          <w:szCs w:val="32"/>
        </w:rPr>
        <w:t>. 消防“五位一体”工作体系</w:t>
      </w:r>
      <w:r>
        <w:rPr>
          <w:rFonts w:hint="default" w:ascii="Times New Roman" w:hAnsi="Times New Roman" w:eastAsia="仿宋_GB2312" w:cs="Times New Roman"/>
          <w:color w:val="000000"/>
          <w:spacing w:val="-6"/>
          <w:kern w:val="0"/>
          <w:sz w:val="32"/>
          <w:szCs w:val="32"/>
        </w:rPr>
        <w:t>：即五个部门一起办公合成抓机制，按照就近就便、集中集约原则，有条件的镇（街道）推行综合行政执法和安全生产监督管理办公室、消防综合监管工作站、331消防安全专项机制队伍地方政府专职消防救援队站以及公安派出所消防力量等五个部门集中办公，暂时无条件的可组建工作专班集中办公，做到“应消一体、防消联勤”。</w:t>
      </w:r>
    </w:p>
    <w:p w14:paraId="481BBA81">
      <w:pPr>
        <w:widowControl/>
        <w:autoSpaceDE w:val="0"/>
        <w:adjustRightInd w:val="0"/>
        <w:spacing w:after="0"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黑体" w:cs="Times New Roman"/>
          <w:color w:val="000000"/>
          <w:kern w:val="0"/>
          <w:sz w:val="32"/>
          <w:szCs w:val="32"/>
        </w:rPr>
        <w:t>1</w:t>
      </w:r>
      <w:r>
        <w:rPr>
          <w:rFonts w:hint="default" w:ascii="Times New Roman" w:hAnsi="Times New Roman" w:eastAsia="黑体" w:cs="Times New Roman"/>
          <w:color w:val="000000"/>
          <w:kern w:val="0"/>
          <w:sz w:val="32"/>
          <w:szCs w:val="32"/>
          <w:lang w:val="en-US" w:eastAsia="zh-CN"/>
        </w:rPr>
        <w:t>8</w:t>
      </w:r>
      <w:r>
        <w:rPr>
          <w:rFonts w:hint="default" w:ascii="Times New Roman" w:hAnsi="Times New Roman" w:eastAsia="黑体" w:cs="Times New Roman"/>
          <w:color w:val="000000"/>
          <w:kern w:val="0"/>
          <w:sz w:val="32"/>
          <w:szCs w:val="32"/>
        </w:rPr>
        <w:t>. “两员一师”队伍</w:t>
      </w:r>
      <w:r>
        <w:rPr>
          <w:rFonts w:hint="default" w:ascii="Times New Roman" w:hAnsi="Times New Roman" w:eastAsia="仿宋_GB2312" w:cs="Times New Roman"/>
          <w:color w:val="000000"/>
          <w:kern w:val="0"/>
          <w:sz w:val="32"/>
          <w:szCs w:val="32"/>
        </w:rPr>
        <w:t>：即安全生产巡查员、安全生产监督管理人员、注册安全工程师。</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sectPr>
      <w:footerReference r:id="rId10"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0AFED1E-82A9-4601-861C-ABB7F9B5484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D9D3D580-CEA5-43D9-9D57-7096EAE3DAA4}"/>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embedRegular r:id="rId3" w:fontKey="{BB5F1116-6988-41CC-B554-8AD4D7E352F3}"/>
  </w:font>
  <w:font w:name="方正小标宋_GBK">
    <w:panose1 w:val="03000509000000000000"/>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embedRegular r:id="rId4" w:fontKey="{652E4E02-1119-4356-A8E6-E50D9EC5E968}"/>
  </w:font>
  <w:font w:name="Arial Unicode MS">
    <w:panose1 w:val="020B0604020202020204"/>
    <w:charset w:val="86"/>
    <w:family w:val="swiss"/>
    <w:pitch w:val="default"/>
    <w:sig w:usb0="FFFFFFFF" w:usb1="E9FFFFFF" w:usb2="0000003F" w:usb3="00000000" w:csb0="603F01FF" w:csb1="FFFF0000"/>
    <w:embedRegular r:id="rId5" w:fontKey="{8E4E9F3E-70BE-43BD-9540-12CA7F5749F0}"/>
  </w:font>
  <w:font w:name="方正公文小标宋">
    <w:panose1 w:val="02000500000000000000"/>
    <w:charset w:val="86"/>
    <w:family w:val="auto"/>
    <w:pitch w:val="default"/>
    <w:sig w:usb0="A00002BF" w:usb1="38CF7CFA" w:usb2="00000016" w:usb3="00000000" w:csb0="00040001" w:csb1="00000000"/>
    <w:embedRegular r:id="rId6" w:fontKey="{7C576DCB-1CD8-418C-AAA3-17BBBBB9F942}"/>
  </w:font>
  <w:font w:name="楷体_GB2312">
    <w:panose1 w:val="02010609030101010101"/>
    <w:charset w:val="86"/>
    <w:family w:val="auto"/>
    <w:pitch w:val="default"/>
    <w:sig w:usb0="00000001" w:usb1="080E0000" w:usb2="00000000" w:usb3="00000000" w:csb0="00040000" w:csb1="00000000"/>
    <w:embedRegular r:id="rId7" w:fontKey="{4ECDCE8C-3078-4B71-BFFE-60FE327E88FB}"/>
  </w:font>
  <w:font w:name="方正小标宋简体">
    <w:panose1 w:val="02010601030101010101"/>
    <w:charset w:val="86"/>
    <w:family w:val="auto"/>
    <w:pitch w:val="default"/>
    <w:sig w:usb0="00000001" w:usb1="080E0000" w:usb2="00000000" w:usb3="00000000" w:csb0="00040000" w:csb1="00000000"/>
  </w:font>
  <w:font w:name="方正大标宋简体">
    <w:panose1 w:val="02000000000000000000"/>
    <w:charset w:val="86"/>
    <w:family w:val="auto"/>
    <w:pitch w:val="default"/>
    <w:sig w:usb0="A00002BF" w:usb1="184F6CFA" w:usb2="00000012" w:usb3="00000000" w:csb0="00040001" w:csb1="00000000"/>
    <w:embedRegular r:id="rId8" w:fontKey="{C7BC9CC4-FB1E-42B5-A9E4-88C8EA2986A3}"/>
  </w:font>
  <w:font w:name="WPSEMBED3">
    <w:panose1 w:val="02000500000000000000"/>
    <w:charset w:val="86"/>
    <w:family w:val="auto"/>
    <w:pitch w:val="default"/>
    <w:sig w:usb0="A00002BF" w:usb1="38CF7CFA" w:usb2="00000016" w:usb3="00000000" w:csb0="00040001" w:csb1="00000000"/>
  </w:font>
  <w:font w:name="WPSEMBED4">
    <w:panose1 w:val="02000000000000000000"/>
    <w:charset w:val="86"/>
    <w:family w:val="auto"/>
    <w:pitch w:val="default"/>
    <w:sig w:usb0="A00002BF" w:usb1="184F6CFA" w:usb2="00000012"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2FD34">
    <w:pPr>
      <w:pStyle w:val="12"/>
      <w:spacing w:line="580"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04687">
    <w:pPr>
      <w:pStyle w:val="12"/>
      <w:spacing w:line="580" w:lineRule="exact"/>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16F7514">
                          <w:pPr>
                            <w:pStyle w:val="12"/>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III</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8V5Q0wAgAAY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MQJs+ysNMP&#10;lkfoKI+362OAnEnlKEqnBLoTD5i91Kd+T+Jw/3lOUY//Da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A8V5Q0wAgAAYwQAAA4AAAAAAAAAAQAgAAAAHwEAAGRycy9lMm9Eb2MueG1sUEsFBgAA&#10;AAAGAAYAWQEAAMEFAAAAAA==&#10;">
              <v:fill on="f" focussize="0,0"/>
              <v:stroke on="f" weight="0.5pt"/>
              <v:imagedata o:title=""/>
              <o:lock v:ext="edit" aspectratio="f"/>
              <v:textbox inset="0mm,0mm,0mm,0mm" style="mso-fit-shape-to-text:t;">
                <w:txbxContent>
                  <w:p w14:paraId="416F7514">
                    <w:pPr>
                      <w:pStyle w:val="12"/>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III</w:t>
                    </w:r>
                    <w:r>
                      <w:rPr>
                        <w:rFonts w:ascii="Times New Roman" w:hAnsi="Times New Roman" w:cs="Times New Roman"/>
                        <w:sz w:val="24"/>
                        <w:szCs w:val="24"/>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8A0A1">
    <w:pPr>
      <w:pStyle w:val="12"/>
      <w:spacing w:line="580" w:lineRule="exact"/>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72D764A">
                          <w:pPr>
                            <w:pStyle w:val="12"/>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HPF6w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MHmWha3e&#10;WR6hozzero4BciaVoyidEuhOPGD2Up/6PYnD/ec5RT3+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xzxesMQIAAGMEAAAOAAAAAAAAAAEAIAAAAB8BAABkcnMvZTJvRG9jLnhtbFBLBQYA&#10;AAAABgAGAFkBAADCBQAAAAA=&#10;">
              <v:fill on="f" focussize="0,0"/>
              <v:stroke on="f" weight="0.5pt"/>
              <v:imagedata o:title=""/>
              <o:lock v:ext="edit" aspectratio="f"/>
              <v:textbox inset="0mm,0mm,0mm,0mm" style="mso-fit-shape-to-text:t;">
                <w:txbxContent>
                  <w:p w14:paraId="072D764A">
                    <w:pPr>
                      <w:pStyle w:val="12"/>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F9A2D">
    <w:pPr>
      <w:pStyle w:val="12"/>
      <w:spacing w:line="580" w:lineRule="exac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9D77094">
                          <w:pPr>
                            <w:pStyle w:val="12"/>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112</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49D77094">
                    <w:pPr>
                      <w:pStyle w:val="12"/>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112</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498D6">
    <w:pPr>
      <w:pStyle w:val="13"/>
      <w:pBdr>
        <w:bottom w:val="none" w:color="auto" w:sz="0" w:space="1"/>
      </w:pBdr>
      <w:spacing w:line="580"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9591E">
    <w:pPr>
      <w:pBdr>
        <w:bottom w:val="none" w:color="auto" w:sz="0" w:space="1"/>
      </w:pBdr>
      <w:tabs>
        <w:tab w:val="center" w:pos="4153"/>
        <w:tab w:val="right"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CB49FC"/>
    <w:multiLevelType w:val="singleLevel"/>
    <w:tmpl w:val="D2CB49FC"/>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hideSpellingErrors/>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CF4"/>
    <w:rsid w:val="00007A9E"/>
    <w:rsid w:val="00012103"/>
    <w:rsid w:val="00015267"/>
    <w:rsid w:val="0002635D"/>
    <w:rsid w:val="00032E66"/>
    <w:rsid w:val="000331D6"/>
    <w:rsid w:val="00036AD9"/>
    <w:rsid w:val="00047C74"/>
    <w:rsid w:val="000513C3"/>
    <w:rsid w:val="00052A18"/>
    <w:rsid w:val="00054E3A"/>
    <w:rsid w:val="00054F1A"/>
    <w:rsid w:val="00064D2E"/>
    <w:rsid w:val="00066811"/>
    <w:rsid w:val="00091DB1"/>
    <w:rsid w:val="00094FC4"/>
    <w:rsid w:val="000A1DEE"/>
    <w:rsid w:val="000A2071"/>
    <w:rsid w:val="000B1D75"/>
    <w:rsid w:val="000B5013"/>
    <w:rsid w:val="000B6F12"/>
    <w:rsid w:val="000C09A2"/>
    <w:rsid w:val="000C6A38"/>
    <w:rsid w:val="000D411C"/>
    <w:rsid w:val="000E6E9D"/>
    <w:rsid w:val="000F2437"/>
    <w:rsid w:val="000F31A6"/>
    <w:rsid w:val="00106EA4"/>
    <w:rsid w:val="0012756B"/>
    <w:rsid w:val="00144EE2"/>
    <w:rsid w:val="00170852"/>
    <w:rsid w:val="00171EB4"/>
    <w:rsid w:val="00171ECB"/>
    <w:rsid w:val="00172A27"/>
    <w:rsid w:val="00186806"/>
    <w:rsid w:val="001A71A8"/>
    <w:rsid w:val="001B038F"/>
    <w:rsid w:val="001B2301"/>
    <w:rsid w:val="001C421A"/>
    <w:rsid w:val="001D324F"/>
    <w:rsid w:val="001D712E"/>
    <w:rsid w:val="001F5444"/>
    <w:rsid w:val="00213256"/>
    <w:rsid w:val="002201E6"/>
    <w:rsid w:val="0022181C"/>
    <w:rsid w:val="00222F45"/>
    <w:rsid w:val="00226EE5"/>
    <w:rsid w:val="00235599"/>
    <w:rsid w:val="00245538"/>
    <w:rsid w:val="00245D4E"/>
    <w:rsid w:val="00247343"/>
    <w:rsid w:val="00250C96"/>
    <w:rsid w:val="00251350"/>
    <w:rsid w:val="00256BBE"/>
    <w:rsid w:val="002656EF"/>
    <w:rsid w:val="00266C42"/>
    <w:rsid w:val="00281460"/>
    <w:rsid w:val="002924D0"/>
    <w:rsid w:val="00294ABE"/>
    <w:rsid w:val="002B38D1"/>
    <w:rsid w:val="002B693E"/>
    <w:rsid w:val="002B6DBC"/>
    <w:rsid w:val="002C1AB4"/>
    <w:rsid w:val="002C54C8"/>
    <w:rsid w:val="002D3227"/>
    <w:rsid w:val="002D52E0"/>
    <w:rsid w:val="002D6D83"/>
    <w:rsid w:val="002F229B"/>
    <w:rsid w:val="00300810"/>
    <w:rsid w:val="003174D8"/>
    <w:rsid w:val="00320357"/>
    <w:rsid w:val="00320DF7"/>
    <w:rsid w:val="00322B4E"/>
    <w:rsid w:val="003238E2"/>
    <w:rsid w:val="00331750"/>
    <w:rsid w:val="00331AB9"/>
    <w:rsid w:val="00332607"/>
    <w:rsid w:val="003524ED"/>
    <w:rsid w:val="003567A4"/>
    <w:rsid w:val="003569FF"/>
    <w:rsid w:val="00362A8D"/>
    <w:rsid w:val="00367136"/>
    <w:rsid w:val="003718E5"/>
    <w:rsid w:val="0037593A"/>
    <w:rsid w:val="003811EF"/>
    <w:rsid w:val="0038776D"/>
    <w:rsid w:val="003A247D"/>
    <w:rsid w:val="003A6F8C"/>
    <w:rsid w:val="003B4E4C"/>
    <w:rsid w:val="003B72F3"/>
    <w:rsid w:val="003C251A"/>
    <w:rsid w:val="003C7891"/>
    <w:rsid w:val="003D0342"/>
    <w:rsid w:val="003D19D4"/>
    <w:rsid w:val="003D249E"/>
    <w:rsid w:val="003D5414"/>
    <w:rsid w:val="003D7D2C"/>
    <w:rsid w:val="003E573F"/>
    <w:rsid w:val="003F54BD"/>
    <w:rsid w:val="003F57CE"/>
    <w:rsid w:val="0041771E"/>
    <w:rsid w:val="004215EC"/>
    <w:rsid w:val="0042483E"/>
    <w:rsid w:val="00440603"/>
    <w:rsid w:val="00447356"/>
    <w:rsid w:val="004627D3"/>
    <w:rsid w:val="004639E5"/>
    <w:rsid w:val="004645E3"/>
    <w:rsid w:val="00472BD4"/>
    <w:rsid w:val="004735AC"/>
    <w:rsid w:val="00475D8E"/>
    <w:rsid w:val="004944BA"/>
    <w:rsid w:val="004960CD"/>
    <w:rsid w:val="00496DA9"/>
    <w:rsid w:val="004A1B0A"/>
    <w:rsid w:val="004A474D"/>
    <w:rsid w:val="004B37CA"/>
    <w:rsid w:val="004B77F5"/>
    <w:rsid w:val="004C235A"/>
    <w:rsid w:val="004C27DE"/>
    <w:rsid w:val="004D05B3"/>
    <w:rsid w:val="004E46EB"/>
    <w:rsid w:val="004F530E"/>
    <w:rsid w:val="00502335"/>
    <w:rsid w:val="00502AAD"/>
    <w:rsid w:val="00512618"/>
    <w:rsid w:val="00512FFA"/>
    <w:rsid w:val="00520BA6"/>
    <w:rsid w:val="00537941"/>
    <w:rsid w:val="005427E0"/>
    <w:rsid w:val="005610FE"/>
    <w:rsid w:val="00562D0D"/>
    <w:rsid w:val="00565F12"/>
    <w:rsid w:val="00576944"/>
    <w:rsid w:val="0058598C"/>
    <w:rsid w:val="00594DE2"/>
    <w:rsid w:val="00594E9B"/>
    <w:rsid w:val="0059614E"/>
    <w:rsid w:val="005A0CF9"/>
    <w:rsid w:val="005A120A"/>
    <w:rsid w:val="005A1A0E"/>
    <w:rsid w:val="005A4483"/>
    <w:rsid w:val="005A7340"/>
    <w:rsid w:val="005C32A1"/>
    <w:rsid w:val="005D32A9"/>
    <w:rsid w:val="005E168F"/>
    <w:rsid w:val="005E7678"/>
    <w:rsid w:val="005F4AA6"/>
    <w:rsid w:val="005F586E"/>
    <w:rsid w:val="005F677F"/>
    <w:rsid w:val="00602B04"/>
    <w:rsid w:val="006167EF"/>
    <w:rsid w:val="00630A2E"/>
    <w:rsid w:val="006469E1"/>
    <w:rsid w:val="006475F3"/>
    <w:rsid w:val="00664533"/>
    <w:rsid w:val="00672C99"/>
    <w:rsid w:val="0069359F"/>
    <w:rsid w:val="006A07FF"/>
    <w:rsid w:val="006A5362"/>
    <w:rsid w:val="006C03F3"/>
    <w:rsid w:val="006C18DF"/>
    <w:rsid w:val="006C216A"/>
    <w:rsid w:val="006C2351"/>
    <w:rsid w:val="006C407C"/>
    <w:rsid w:val="006C6C22"/>
    <w:rsid w:val="006D10F0"/>
    <w:rsid w:val="006D4FE0"/>
    <w:rsid w:val="006F2F57"/>
    <w:rsid w:val="0070567D"/>
    <w:rsid w:val="007073A9"/>
    <w:rsid w:val="00712A0B"/>
    <w:rsid w:val="00723C78"/>
    <w:rsid w:val="0073069C"/>
    <w:rsid w:val="00740903"/>
    <w:rsid w:val="007441F9"/>
    <w:rsid w:val="00764F72"/>
    <w:rsid w:val="00765C2B"/>
    <w:rsid w:val="00766A1E"/>
    <w:rsid w:val="00776F77"/>
    <w:rsid w:val="00781A6F"/>
    <w:rsid w:val="007B6C25"/>
    <w:rsid w:val="007B77E8"/>
    <w:rsid w:val="007D2C3F"/>
    <w:rsid w:val="007E445B"/>
    <w:rsid w:val="007E5E60"/>
    <w:rsid w:val="007E656E"/>
    <w:rsid w:val="007E68EA"/>
    <w:rsid w:val="00802FFF"/>
    <w:rsid w:val="00805F64"/>
    <w:rsid w:val="00811E30"/>
    <w:rsid w:val="0083363A"/>
    <w:rsid w:val="00850579"/>
    <w:rsid w:val="00852CD2"/>
    <w:rsid w:val="00864608"/>
    <w:rsid w:val="008722A6"/>
    <w:rsid w:val="00872F33"/>
    <w:rsid w:val="00874AF9"/>
    <w:rsid w:val="008811D8"/>
    <w:rsid w:val="00885BD0"/>
    <w:rsid w:val="008A5407"/>
    <w:rsid w:val="008C2154"/>
    <w:rsid w:val="008C62AC"/>
    <w:rsid w:val="008F3FE6"/>
    <w:rsid w:val="009039AA"/>
    <w:rsid w:val="00927B0E"/>
    <w:rsid w:val="009311D3"/>
    <w:rsid w:val="00950099"/>
    <w:rsid w:val="009503EA"/>
    <w:rsid w:val="00952B96"/>
    <w:rsid w:val="009577DB"/>
    <w:rsid w:val="00974B7F"/>
    <w:rsid w:val="00981441"/>
    <w:rsid w:val="00997A7E"/>
    <w:rsid w:val="009B06C1"/>
    <w:rsid w:val="009B7484"/>
    <w:rsid w:val="009B7917"/>
    <w:rsid w:val="009C2175"/>
    <w:rsid w:val="009C703B"/>
    <w:rsid w:val="009D7CD3"/>
    <w:rsid w:val="009E2E5B"/>
    <w:rsid w:val="009E7003"/>
    <w:rsid w:val="009F1885"/>
    <w:rsid w:val="00A027D2"/>
    <w:rsid w:val="00A073A1"/>
    <w:rsid w:val="00A139F2"/>
    <w:rsid w:val="00A145BE"/>
    <w:rsid w:val="00A22C27"/>
    <w:rsid w:val="00A24A0C"/>
    <w:rsid w:val="00A533C0"/>
    <w:rsid w:val="00A53DCE"/>
    <w:rsid w:val="00A546EB"/>
    <w:rsid w:val="00A704A0"/>
    <w:rsid w:val="00A92302"/>
    <w:rsid w:val="00AA7021"/>
    <w:rsid w:val="00AB2126"/>
    <w:rsid w:val="00AB2CF8"/>
    <w:rsid w:val="00AB32B8"/>
    <w:rsid w:val="00AC1F91"/>
    <w:rsid w:val="00AC2586"/>
    <w:rsid w:val="00AF5536"/>
    <w:rsid w:val="00B134D1"/>
    <w:rsid w:val="00B223A4"/>
    <w:rsid w:val="00B24CA4"/>
    <w:rsid w:val="00B364D9"/>
    <w:rsid w:val="00B379DA"/>
    <w:rsid w:val="00B5689B"/>
    <w:rsid w:val="00B66C8D"/>
    <w:rsid w:val="00B67814"/>
    <w:rsid w:val="00B713FD"/>
    <w:rsid w:val="00B74604"/>
    <w:rsid w:val="00B870C3"/>
    <w:rsid w:val="00B942F2"/>
    <w:rsid w:val="00B94C08"/>
    <w:rsid w:val="00BA477A"/>
    <w:rsid w:val="00BB6373"/>
    <w:rsid w:val="00BC1270"/>
    <w:rsid w:val="00BC7E0B"/>
    <w:rsid w:val="00BD131F"/>
    <w:rsid w:val="00BD7723"/>
    <w:rsid w:val="00BF0167"/>
    <w:rsid w:val="00BF349A"/>
    <w:rsid w:val="00C1511A"/>
    <w:rsid w:val="00C22894"/>
    <w:rsid w:val="00C31E5D"/>
    <w:rsid w:val="00C42D12"/>
    <w:rsid w:val="00C448A9"/>
    <w:rsid w:val="00C473FB"/>
    <w:rsid w:val="00C5519E"/>
    <w:rsid w:val="00C603FA"/>
    <w:rsid w:val="00C7103C"/>
    <w:rsid w:val="00C96A77"/>
    <w:rsid w:val="00C97C6A"/>
    <w:rsid w:val="00CA6670"/>
    <w:rsid w:val="00CB3143"/>
    <w:rsid w:val="00CB5C73"/>
    <w:rsid w:val="00CB6C23"/>
    <w:rsid w:val="00CC01AE"/>
    <w:rsid w:val="00CC0E3D"/>
    <w:rsid w:val="00CD2A83"/>
    <w:rsid w:val="00CD3390"/>
    <w:rsid w:val="00CD3B79"/>
    <w:rsid w:val="00D1476C"/>
    <w:rsid w:val="00D2798F"/>
    <w:rsid w:val="00D328E9"/>
    <w:rsid w:val="00D32FAD"/>
    <w:rsid w:val="00D47565"/>
    <w:rsid w:val="00D55A92"/>
    <w:rsid w:val="00D65F34"/>
    <w:rsid w:val="00D670F5"/>
    <w:rsid w:val="00D67614"/>
    <w:rsid w:val="00D75C34"/>
    <w:rsid w:val="00D83543"/>
    <w:rsid w:val="00DB2EFA"/>
    <w:rsid w:val="00DB540B"/>
    <w:rsid w:val="00DC5653"/>
    <w:rsid w:val="00DD6384"/>
    <w:rsid w:val="00DE1E26"/>
    <w:rsid w:val="00DF2E36"/>
    <w:rsid w:val="00DF31EE"/>
    <w:rsid w:val="00E12494"/>
    <w:rsid w:val="00E30692"/>
    <w:rsid w:val="00E34A08"/>
    <w:rsid w:val="00E51CEF"/>
    <w:rsid w:val="00E53CCC"/>
    <w:rsid w:val="00EA23FF"/>
    <w:rsid w:val="00EB5ACB"/>
    <w:rsid w:val="00EE04C4"/>
    <w:rsid w:val="00EE1AD7"/>
    <w:rsid w:val="00EE5569"/>
    <w:rsid w:val="00EE6C89"/>
    <w:rsid w:val="00EF3661"/>
    <w:rsid w:val="00EF3909"/>
    <w:rsid w:val="00F00974"/>
    <w:rsid w:val="00F01888"/>
    <w:rsid w:val="00F148F7"/>
    <w:rsid w:val="00F15F2D"/>
    <w:rsid w:val="00F208F2"/>
    <w:rsid w:val="00F25734"/>
    <w:rsid w:val="00F35906"/>
    <w:rsid w:val="00F4003E"/>
    <w:rsid w:val="00F565C4"/>
    <w:rsid w:val="00F6047E"/>
    <w:rsid w:val="00F618DD"/>
    <w:rsid w:val="00F6213F"/>
    <w:rsid w:val="00F66DDC"/>
    <w:rsid w:val="00F714FA"/>
    <w:rsid w:val="00F83001"/>
    <w:rsid w:val="00F85790"/>
    <w:rsid w:val="00F9276F"/>
    <w:rsid w:val="00FC4645"/>
    <w:rsid w:val="00FC61DA"/>
    <w:rsid w:val="00FD7577"/>
    <w:rsid w:val="010356B7"/>
    <w:rsid w:val="010855B5"/>
    <w:rsid w:val="01094132"/>
    <w:rsid w:val="010B51D5"/>
    <w:rsid w:val="010F27B6"/>
    <w:rsid w:val="01317F69"/>
    <w:rsid w:val="0139423D"/>
    <w:rsid w:val="014A51C2"/>
    <w:rsid w:val="015C0E9D"/>
    <w:rsid w:val="015C55EB"/>
    <w:rsid w:val="0161491D"/>
    <w:rsid w:val="01687703"/>
    <w:rsid w:val="016E2B68"/>
    <w:rsid w:val="017D0DC3"/>
    <w:rsid w:val="019B53E2"/>
    <w:rsid w:val="019C468A"/>
    <w:rsid w:val="01A43626"/>
    <w:rsid w:val="01B87D5F"/>
    <w:rsid w:val="01BA7B58"/>
    <w:rsid w:val="01BF45EF"/>
    <w:rsid w:val="01D07389"/>
    <w:rsid w:val="01DC539A"/>
    <w:rsid w:val="01E07299"/>
    <w:rsid w:val="01E76FAE"/>
    <w:rsid w:val="01EC685A"/>
    <w:rsid w:val="01F30842"/>
    <w:rsid w:val="01F66A40"/>
    <w:rsid w:val="01FE2B3E"/>
    <w:rsid w:val="020043D5"/>
    <w:rsid w:val="020F6DB7"/>
    <w:rsid w:val="02102371"/>
    <w:rsid w:val="021B2F4F"/>
    <w:rsid w:val="02224CFA"/>
    <w:rsid w:val="0227136C"/>
    <w:rsid w:val="022F5414"/>
    <w:rsid w:val="02315F3B"/>
    <w:rsid w:val="023A16F5"/>
    <w:rsid w:val="024A437F"/>
    <w:rsid w:val="02557C87"/>
    <w:rsid w:val="025C4258"/>
    <w:rsid w:val="025E3D15"/>
    <w:rsid w:val="02796C38"/>
    <w:rsid w:val="02824F5B"/>
    <w:rsid w:val="028E4728"/>
    <w:rsid w:val="02991024"/>
    <w:rsid w:val="02AC3E59"/>
    <w:rsid w:val="02AE56F2"/>
    <w:rsid w:val="02B00BF5"/>
    <w:rsid w:val="02B11EFA"/>
    <w:rsid w:val="02B62AFF"/>
    <w:rsid w:val="02BA3F8E"/>
    <w:rsid w:val="02C24E60"/>
    <w:rsid w:val="02DB52BD"/>
    <w:rsid w:val="02DC07C0"/>
    <w:rsid w:val="02E17430"/>
    <w:rsid w:val="02E72FE3"/>
    <w:rsid w:val="02E82C3B"/>
    <w:rsid w:val="02F53F3C"/>
    <w:rsid w:val="02FC5913"/>
    <w:rsid w:val="030748A4"/>
    <w:rsid w:val="0314091A"/>
    <w:rsid w:val="032332FC"/>
    <w:rsid w:val="032853BC"/>
    <w:rsid w:val="033464CA"/>
    <w:rsid w:val="03423DD1"/>
    <w:rsid w:val="034800FB"/>
    <w:rsid w:val="034B2E38"/>
    <w:rsid w:val="034F0B7A"/>
    <w:rsid w:val="035678CB"/>
    <w:rsid w:val="0358338A"/>
    <w:rsid w:val="03697A39"/>
    <w:rsid w:val="036D49A1"/>
    <w:rsid w:val="036D50AC"/>
    <w:rsid w:val="036D7252"/>
    <w:rsid w:val="03905CE5"/>
    <w:rsid w:val="039C5442"/>
    <w:rsid w:val="03A3234F"/>
    <w:rsid w:val="03A5079A"/>
    <w:rsid w:val="03A964DC"/>
    <w:rsid w:val="03AC070B"/>
    <w:rsid w:val="03B81428"/>
    <w:rsid w:val="03B81945"/>
    <w:rsid w:val="03CD45EE"/>
    <w:rsid w:val="03CD73B1"/>
    <w:rsid w:val="03D17DD3"/>
    <w:rsid w:val="03DE5572"/>
    <w:rsid w:val="03DF7183"/>
    <w:rsid w:val="03E92ECA"/>
    <w:rsid w:val="03E94977"/>
    <w:rsid w:val="03F31506"/>
    <w:rsid w:val="0412063E"/>
    <w:rsid w:val="041614CF"/>
    <w:rsid w:val="04247911"/>
    <w:rsid w:val="042675D6"/>
    <w:rsid w:val="042A3CE5"/>
    <w:rsid w:val="042B5FC7"/>
    <w:rsid w:val="04425B09"/>
    <w:rsid w:val="04506958"/>
    <w:rsid w:val="04650E9E"/>
    <w:rsid w:val="04700BD6"/>
    <w:rsid w:val="047D5A61"/>
    <w:rsid w:val="04810859"/>
    <w:rsid w:val="0482196A"/>
    <w:rsid w:val="04893C18"/>
    <w:rsid w:val="04912CB2"/>
    <w:rsid w:val="049727D9"/>
    <w:rsid w:val="049868E8"/>
    <w:rsid w:val="04A113A5"/>
    <w:rsid w:val="04A212B5"/>
    <w:rsid w:val="04B00CAA"/>
    <w:rsid w:val="04BA7D51"/>
    <w:rsid w:val="04C45905"/>
    <w:rsid w:val="04C86784"/>
    <w:rsid w:val="04C93805"/>
    <w:rsid w:val="04CD59EB"/>
    <w:rsid w:val="04DF5241"/>
    <w:rsid w:val="04F96FF0"/>
    <w:rsid w:val="050339C8"/>
    <w:rsid w:val="05105F1E"/>
    <w:rsid w:val="051060E7"/>
    <w:rsid w:val="05121B46"/>
    <w:rsid w:val="051C4A8C"/>
    <w:rsid w:val="052027CE"/>
    <w:rsid w:val="053B7303"/>
    <w:rsid w:val="053C21F2"/>
    <w:rsid w:val="053E0EA6"/>
    <w:rsid w:val="054814D6"/>
    <w:rsid w:val="05647698"/>
    <w:rsid w:val="056B0926"/>
    <w:rsid w:val="05796E8A"/>
    <w:rsid w:val="058731EA"/>
    <w:rsid w:val="05890502"/>
    <w:rsid w:val="05A012C8"/>
    <w:rsid w:val="05B41169"/>
    <w:rsid w:val="05B60A3D"/>
    <w:rsid w:val="05C4253D"/>
    <w:rsid w:val="05C43A86"/>
    <w:rsid w:val="05CC08F0"/>
    <w:rsid w:val="05DD7E8C"/>
    <w:rsid w:val="05E30AB8"/>
    <w:rsid w:val="05E416E8"/>
    <w:rsid w:val="05EA2A37"/>
    <w:rsid w:val="05EE36FD"/>
    <w:rsid w:val="05EE434B"/>
    <w:rsid w:val="05F81B6E"/>
    <w:rsid w:val="05F92C5C"/>
    <w:rsid w:val="05F9301F"/>
    <w:rsid w:val="05FD5DDE"/>
    <w:rsid w:val="05FD7F60"/>
    <w:rsid w:val="06040FED"/>
    <w:rsid w:val="060B3F7D"/>
    <w:rsid w:val="06155CFF"/>
    <w:rsid w:val="061E361A"/>
    <w:rsid w:val="06210D99"/>
    <w:rsid w:val="062416F2"/>
    <w:rsid w:val="062D7C32"/>
    <w:rsid w:val="064A4920"/>
    <w:rsid w:val="06572FF5"/>
    <w:rsid w:val="0657766B"/>
    <w:rsid w:val="0659586C"/>
    <w:rsid w:val="065C3216"/>
    <w:rsid w:val="065D710A"/>
    <w:rsid w:val="066B2C47"/>
    <w:rsid w:val="06892981"/>
    <w:rsid w:val="069E11EB"/>
    <w:rsid w:val="06A81AFB"/>
    <w:rsid w:val="06BD2627"/>
    <w:rsid w:val="06C759A3"/>
    <w:rsid w:val="06C91EE7"/>
    <w:rsid w:val="06CA06AB"/>
    <w:rsid w:val="06D82C35"/>
    <w:rsid w:val="06D870D9"/>
    <w:rsid w:val="06DD0ED1"/>
    <w:rsid w:val="06E46C11"/>
    <w:rsid w:val="06E94E42"/>
    <w:rsid w:val="06EE5DEF"/>
    <w:rsid w:val="06EF7CF0"/>
    <w:rsid w:val="06FC1585"/>
    <w:rsid w:val="070103DE"/>
    <w:rsid w:val="07017C0B"/>
    <w:rsid w:val="07052B32"/>
    <w:rsid w:val="070A2A99"/>
    <w:rsid w:val="072D1D54"/>
    <w:rsid w:val="073F0F06"/>
    <w:rsid w:val="07414C7E"/>
    <w:rsid w:val="0750027C"/>
    <w:rsid w:val="077D6BC9"/>
    <w:rsid w:val="078E2CF2"/>
    <w:rsid w:val="078F51FB"/>
    <w:rsid w:val="07971403"/>
    <w:rsid w:val="07A232BA"/>
    <w:rsid w:val="07A857C2"/>
    <w:rsid w:val="07AF1BE8"/>
    <w:rsid w:val="07B03476"/>
    <w:rsid w:val="07B0452B"/>
    <w:rsid w:val="07BD6F20"/>
    <w:rsid w:val="07CA07CF"/>
    <w:rsid w:val="07CD6512"/>
    <w:rsid w:val="07D02E79"/>
    <w:rsid w:val="07E37AE3"/>
    <w:rsid w:val="07E85C51"/>
    <w:rsid w:val="07F13FAE"/>
    <w:rsid w:val="07F32A16"/>
    <w:rsid w:val="07F36615"/>
    <w:rsid w:val="080537E1"/>
    <w:rsid w:val="081B54CF"/>
    <w:rsid w:val="083C410F"/>
    <w:rsid w:val="083E7D19"/>
    <w:rsid w:val="08402099"/>
    <w:rsid w:val="084762C4"/>
    <w:rsid w:val="085404EC"/>
    <w:rsid w:val="085E41F5"/>
    <w:rsid w:val="0865674A"/>
    <w:rsid w:val="08667AF3"/>
    <w:rsid w:val="08736678"/>
    <w:rsid w:val="08814C04"/>
    <w:rsid w:val="088542E4"/>
    <w:rsid w:val="088F5221"/>
    <w:rsid w:val="089112ED"/>
    <w:rsid w:val="08950021"/>
    <w:rsid w:val="08976915"/>
    <w:rsid w:val="089C12CB"/>
    <w:rsid w:val="08A14A29"/>
    <w:rsid w:val="08A400E0"/>
    <w:rsid w:val="08A70553"/>
    <w:rsid w:val="08A94C94"/>
    <w:rsid w:val="08B54826"/>
    <w:rsid w:val="08B54CBC"/>
    <w:rsid w:val="08B67064"/>
    <w:rsid w:val="08B77236"/>
    <w:rsid w:val="08BB6806"/>
    <w:rsid w:val="08BD132C"/>
    <w:rsid w:val="08DD03CD"/>
    <w:rsid w:val="08EA090B"/>
    <w:rsid w:val="08EC0C19"/>
    <w:rsid w:val="08EC1A98"/>
    <w:rsid w:val="08FE2B01"/>
    <w:rsid w:val="09077DF6"/>
    <w:rsid w:val="090E0497"/>
    <w:rsid w:val="091135A8"/>
    <w:rsid w:val="09122E6E"/>
    <w:rsid w:val="09185D37"/>
    <w:rsid w:val="091B0597"/>
    <w:rsid w:val="091E2940"/>
    <w:rsid w:val="091E39CF"/>
    <w:rsid w:val="091F4B4B"/>
    <w:rsid w:val="09270608"/>
    <w:rsid w:val="09497E1A"/>
    <w:rsid w:val="094A52DA"/>
    <w:rsid w:val="094C42CE"/>
    <w:rsid w:val="095600DF"/>
    <w:rsid w:val="09594B59"/>
    <w:rsid w:val="095F13EB"/>
    <w:rsid w:val="096D58B6"/>
    <w:rsid w:val="097A4E1C"/>
    <w:rsid w:val="097C277C"/>
    <w:rsid w:val="097E2803"/>
    <w:rsid w:val="09866A95"/>
    <w:rsid w:val="098B21E0"/>
    <w:rsid w:val="098B72B4"/>
    <w:rsid w:val="099077F7"/>
    <w:rsid w:val="09937580"/>
    <w:rsid w:val="09945539"/>
    <w:rsid w:val="09987168"/>
    <w:rsid w:val="099C7352"/>
    <w:rsid w:val="099E0166"/>
    <w:rsid w:val="09A34AFA"/>
    <w:rsid w:val="09A931C6"/>
    <w:rsid w:val="09AA4D5C"/>
    <w:rsid w:val="09B5177D"/>
    <w:rsid w:val="09C04D8A"/>
    <w:rsid w:val="09C1778E"/>
    <w:rsid w:val="09C56195"/>
    <w:rsid w:val="09C834B1"/>
    <w:rsid w:val="09C94178"/>
    <w:rsid w:val="09E23546"/>
    <w:rsid w:val="09E627C6"/>
    <w:rsid w:val="09EB0ED1"/>
    <w:rsid w:val="09EB6775"/>
    <w:rsid w:val="09F10F85"/>
    <w:rsid w:val="09F21854"/>
    <w:rsid w:val="09FE0C04"/>
    <w:rsid w:val="0A0A00B0"/>
    <w:rsid w:val="0A0F39A5"/>
    <w:rsid w:val="0A116422"/>
    <w:rsid w:val="0A125155"/>
    <w:rsid w:val="0A134713"/>
    <w:rsid w:val="0A173A74"/>
    <w:rsid w:val="0A21666D"/>
    <w:rsid w:val="0A2467B1"/>
    <w:rsid w:val="0A286E16"/>
    <w:rsid w:val="0A392AF6"/>
    <w:rsid w:val="0A3D797F"/>
    <w:rsid w:val="0A417B14"/>
    <w:rsid w:val="0A434865"/>
    <w:rsid w:val="0A4444E4"/>
    <w:rsid w:val="0A4D179E"/>
    <w:rsid w:val="0A6C7E2A"/>
    <w:rsid w:val="0A6D003B"/>
    <w:rsid w:val="0A786C09"/>
    <w:rsid w:val="0A7C0731"/>
    <w:rsid w:val="0A8B2189"/>
    <w:rsid w:val="0AA417AC"/>
    <w:rsid w:val="0AA82989"/>
    <w:rsid w:val="0AA82CA6"/>
    <w:rsid w:val="0AAA2788"/>
    <w:rsid w:val="0AAD3F14"/>
    <w:rsid w:val="0AC43BFC"/>
    <w:rsid w:val="0ACA7718"/>
    <w:rsid w:val="0ACC060A"/>
    <w:rsid w:val="0ADE5666"/>
    <w:rsid w:val="0AE55920"/>
    <w:rsid w:val="0AE9066E"/>
    <w:rsid w:val="0AEE1476"/>
    <w:rsid w:val="0AF7780B"/>
    <w:rsid w:val="0AFF7546"/>
    <w:rsid w:val="0B063E4D"/>
    <w:rsid w:val="0B0B35D9"/>
    <w:rsid w:val="0B16477F"/>
    <w:rsid w:val="0B1C57E6"/>
    <w:rsid w:val="0B1F0FC2"/>
    <w:rsid w:val="0B212DFC"/>
    <w:rsid w:val="0B2711C0"/>
    <w:rsid w:val="0B2A15AC"/>
    <w:rsid w:val="0B305C79"/>
    <w:rsid w:val="0B316E2B"/>
    <w:rsid w:val="0B3B57FD"/>
    <w:rsid w:val="0B3C19E4"/>
    <w:rsid w:val="0B444AC2"/>
    <w:rsid w:val="0B4873B4"/>
    <w:rsid w:val="0B4D2798"/>
    <w:rsid w:val="0B4E199A"/>
    <w:rsid w:val="0B520281"/>
    <w:rsid w:val="0B624D7B"/>
    <w:rsid w:val="0B8B4870"/>
    <w:rsid w:val="0BA021B4"/>
    <w:rsid w:val="0BA52810"/>
    <w:rsid w:val="0BB16B02"/>
    <w:rsid w:val="0BB9448E"/>
    <w:rsid w:val="0BBC0D77"/>
    <w:rsid w:val="0BBE2359"/>
    <w:rsid w:val="0BCF1A6D"/>
    <w:rsid w:val="0BD229F1"/>
    <w:rsid w:val="0BD95332"/>
    <w:rsid w:val="0BDA11FD"/>
    <w:rsid w:val="0C032762"/>
    <w:rsid w:val="0C040DAA"/>
    <w:rsid w:val="0C09094D"/>
    <w:rsid w:val="0C0B2B8F"/>
    <w:rsid w:val="0C1709D7"/>
    <w:rsid w:val="0C183663"/>
    <w:rsid w:val="0C1C214E"/>
    <w:rsid w:val="0C2C4385"/>
    <w:rsid w:val="0C2F10E1"/>
    <w:rsid w:val="0C394FD5"/>
    <w:rsid w:val="0C3A7343"/>
    <w:rsid w:val="0C403025"/>
    <w:rsid w:val="0C423CA0"/>
    <w:rsid w:val="0C4A0131"/>
    <w:rsid w:val="0C605AD8"/>
    <w:rsid w:val="0C6557E4"/>
    <w:rsid w:val="0C73257B"/>
    <w:rsid w:val="0C7D670E"/>
    <w:rsid w:val="0C8007C5"/>
    <w:rsid w:val="0C884A9F"/>
    <w:rsid w:val="0C8A21A0"/>
    <w:rsid w:val="0C92041A"/>
    <w:rsid w:val="0C9F0CE6"/>
    <w:rsid w:val="0CA02145"/>
    <w:rsid w:val="0CA81750"/>
    <w:rsid w:val="0CC06B9E"/>
    <w:rsid w:val="0CC222FA"/>
    <w:rsid w:val="0CC4006B"/>
    <w:rsid w:val="0CC9159A"/>
    <w:rsid w:val="0CC95508"/>
    <w:rsid w:val="0CC97549"/>
    <w:rsid w:val="0D0B7276"/>
    <w:rsid w:val="0D0D360F"/>
    <w:rsid w:val="0D146261"/>
    <w:rsid w:val="0D170FBB"/>
    <w:rsid w:val="0D2B72D1"/>
    <w:rsid w:val="0D2C6924"/>
    <w:rsid w:val="0D375B3C"/>
    <w:rsid w:val="0D385778"/>
    <w:rsid w:val="0D494B5D"/>
    <w:rsid w:val="0D660F9A"/>
    <w:rsid w:val="0D692F68"/>
    <w:rsid w:val="0D69334A"/>
    <w:rsid w:val="0D6F0464"/>
    <w:rsid w:val="0D7A7EA4"/>
    <w:rsid w:val="0D7B0773"/>
    <w:rsid w:val="0D7E5A6A"/>
    <w:rsid w:val="0D8D5FF5"/>
    <w:rsid w:val="0D98311E"/>
    <w:rsid w:val="0DB02216"/>
    <w:rsid w:val="0DB63E8C"/>
    <w:rsid w:val="0DB86020"/>
    <w:rsid w:val="0DB90694"/>
    <w:rsid w:val="0DBA2EBE"/>
    <w:rsid w:val="0DCE08EE"/>
    <w:rsid w:val="0DDB748F"/>
    <w:rsid w:val="0DE306B4"/>
    <w:rsid w:val="0DF01E34"/>
    <w:rsid w:val="0DF07A45"/>
    <w:rsid w:val="0DF71493"/>
    <w:rsid w:val="0E0765A7"/>
    <w:rsid w:val="0E0A1E1D"/>
    <w:rsid w:val="0E1F0F9C"/>
    <w:rsid w:val="0E2A3B94"/>
    <w:rsid w:val="0E336CD8"/>
    <w:rsid w:val="0E3430E3"/>
    <w:rsid w:val="0E3B2427"/>
    <w:rsid w:val="0E3E08ED"/>
    <w:rsid w:val="0E46793C"/>
    <w:rsid w:val="0E497E38"/>
    <w:rsid w:val="0E512FED"/>
    <w:rsid w:val="0E573A0D"/>
    <w:rsid w:val="0E6D45AA"/>
    <w:rsid w:val="0E7C3B48"/>
    <w:rsid w:val="0E903DF5"/>
    <w:rsid w:val="0E953998"/>
    <w:rsid w:val="0E960F7B"/>
    <w:rsid w:val="0E9A04B4"/>
    <w:rsid w:val="0EA4373F"/>
    <w:rsid w:val="0EA92F31"/>
    <w:rsid w:val="0EB45D35"/>
    <w:rsid w:val="0ECC1455"/>
    <w:rsid w:val="0ECE4BE6"/>
    <w:rsid w:val="0ED525D1"/>
    <w:rsid w:val="0EDF2EF7"/>
    <w:rsid w:val="0EE04D7C"/>
    <w:rsid w:val="0EE36F8F"/>
    <w:rsid w:val="0EEF0419"/>
    <w:rsid w:val="0EF34C60"/>
    <w:rsid w:val="0EFA0CA0"/>
    <w:rsid w:val="0F015125"/>
    <w:rsid w:val="0F0C69BC"/>
    <w:rsid w:val="0F124148"/>
    <w:rsid w:val="0F203F97"/>
    <w:rsid w:val="0F22299C"/>
    <w:rsid w:val="0F23517F"/>
    <w:rsid w:val="0F3864E4"/>
    <w:rsid w:val="0F386586"/>
    <w:rsid w:val="0F394008"/>
    <w:rsid w:val="0F3976FC"/>
    <w:rsid w:val="0F3D50CE"/>
    <w:rsid w:val="0F4444D7"/>
    <w:rsid w:val="0F5216E5"/>
    <w:rsid w:val="0F5B0804"/>
    <w:rsid w:val="0F634E4C"/>
    <w:rsid w:val="0F7718EE"/>
    <w:rsid w:val="0F7D7329"/>
    <w:rsid w:val="0F807D1C"/>
    <w:rsid w:val="0F87460F"/>
    <w:rsid w:val="0F8972DB"/>
    <w:rsid w:val="0F8D439A"/>
    <w:rsid w:val="0F953DB9"/>
    <w:rsid w:val="0FAF52CB"/>
    <w:rsid w:val="0FC319D1"/>
    <w:rsid w:val="0FDE1912"/>
    <w:rsid w:val="0FDF5922"/>
    <w:rsid w:val="0FE7274C"/>
    <w:rsid w:val="0FEF7987"/>
    <w:rsid w:val="0FF13CDD"/>
    <w:rsid w:val="0FFB6765"/>
    <w:rsid w:val="0FFE2390"/>
    <w:rsid w:val="0FFF2FA7"/>
    <w:rsid w:val="10021556"/>
    <w:rsid w:val="10052457"/>
    <w:rsid w:val="10154880"/>
    <w:rsid w:val="10236783"/>
    <w:rsid w:val="10294501"/>
    <w:rsid w:val="10372C7C"/>
    <w:rsid w:val="10374E70"/>
    <w:rsid w:val="103A04BC"/>
    <w:rsid w:val="10433815"/>
    <w:rsid w:val="104F6282"/>
    <w:rsid w:val="10587425"/>
    <w:rsid w:val="106B68C8"/>
    <w:rsid w:val="10755F8E"/>
    <w:rsid w:val="10794994"/>
    <w:rsid w:val="107A586E"/>
    <w:rsid w:val="107F2121"/>
    <w:rsid w:val="10814E2B"/>
    <w:rsid w:val="1084049A"/>
    <w:rsid w:val="1088655E"/>
    <w:rsid w:val="108B5536"/>
    <w:rsid w:val="10914580"/>
    <w:rsid w:val="1092693D"/>
    <w:rsid w:val="109F023B"/>
    <w:rsid w:val="10A522C1"/>
    <w:rsid w:val="10B85090"/>
    <w:rsid w:val="10B93AD7"/>
    <w:rsid w:val="10BD1393"/>
    <w:rsid w:val="10C81B63"/>
    <w:rsid w:val="10CA4774"/>
    <w:rsid w:val="10CC377A"/>
    <w:rsid w:val="10DA4998"/>
    <w:rsid w:val="10DE3674"/>
    <w:rsid w:val="10DF11BD"/>
    <w:rsid w:val="10F2465E"/>
    <w:rsid w:val="10FE58AF"/>
    <w:rsid w:val="1106508E"/>
    <w:rsid w:val="110D2C89"/>
    <w:rsid w:val="111C7A20"/>
    <w:rsid w:val="112E4DB4"/>
    <w:rsid w:val="11381D59"/>
    <w:rsid w:val="11395F61"/>
    <w:rsid w:val="113A774C"/>
    <w:rsid w:val="113C03CA"/>
    <w:rsid w:val="11417952"/>
    <w:rsid w:val="114743F7"/>
    <w:rsid w:val="116779EF"/>
    <w:rsid w:val="116E3FA7"/>
    <w:rsid w:val="116F64D5"/>
    <w:rsid w:val="117A1736"/>
    <w:rsid w:val="11AB3E0C"/>
    <w:rsid w:val="11AF4817"/>
    <w:rsid w:val="11B42942"/>
    <w:rsid w:val="11B5429E"/>
    <w:rsid w:val="11B741CE"/>
    <w:rsid w:val="11BC3D26"/>
    <w:rsid w:val="11BE3F8E"/>
    <w:rsid w:val="11C0052E"/>
    <w:rsid w:val="11D06E90"/>
    <w:rsid w:val="11D72467"/>
    <w:rsid w:val="11E316ED"/>
    <w:rsid w:val="11FD18F3"/>
    <w:rsid w:val="11FE0013"/>
    <w:rsid w:val="12080BBF"/>
    <w:rsid w:val="122136E2"/>
    <w:rsid w:val="122E6319"/>
    <w:rsid w:val="12457169"/>
    <w:rsid w:val="1249147B"/>
    <w:rsid w:val="12495D4E"/>
    <w:rsid w:val="12527AF3"/>
    <w:rsid w:val="12542C3E"/>
    <w:rsid w:val="1255519F"/>
    <w:rsid w:val="12573325"/>
    <w:rsid w:val="125A7C4C"/>
    <w:rsid w:val="12762CD9"/>
    <w:rsid w:val="127A7296"/>
    <w:rsid w:val="12814D69"/>
    <w:rsid w:val="129F79AD"/>
    <w:rsid w:val="12A365A3"/>
    <w:rsid w:val="12A926AA"/>
    <w:rsid w:val="12AB31E8"/>
    <w:rsid w:val="12AC1431"/>
    <w:rsid w:val="12B26899"/>
    <w:rsid w:val="12B677C2"/>
    <w:rsid w:val="12BA7692"/>
    <w:rsid w:val="12C235D4"/>
    <w:rsid w:val="12C31056"/>
    <w:rsid w:val="12CA14E3"/>
    <w:rsid w:val="12CA352A"/>
    <w:rsid w:val="12CF0B41"/>
    <w:rsid w:val="12E81295"/>
    <w:rsid w:val="12E82452"/>
    <w:rsid w:val="12E96D17"/>
    <w:rsid w:val="12EE5628"/>
    <w:rsid w:val="13047F9F"/>
    <w:rsid w:val="13140A84"/>
    <w:rsid w:val="13144FF5"/>
    <w:rsid w:val="132112BC"/>
    <w:rsid w:val="132774BB"/>
    <w:rsid w:val="132F4BDE"/>
    <w:rsid w:val="133149E8"/>
    <w:rsid w:val="13370CE3"/>
    <w:rsid w:val="13385FA2"/>
    <w:rsid w:val="133B2641"/>
    <w:rsid w:val="133B6A25"/>
    <w:rsid w:val="133C79AB"/>
    <w:rsid w:val="13602AC4"/>
    <w:rsid w:val="13606B03"/>
    <w:rsid w:val="13640910"/>
    <w:rsid w:val="1381490C"/>
    <w:rsid w:val="13830281"/>
    <w:rsid w:val="139179D2"/>
    <w:rsid w:val="13A91827"/>
    <w:rsid w:val="13AB6DD5"/>
    <w:rsid w:val="13B359C2"/>
    <w:rsid w:val="13C36EB4"/>
    <w:rsid w:val="13D1738A"/>
    <w:rsid w:val="13DF5AD1"/>
    <w:rsid w:val="13E250F3"/>
    <w:rsid w:val="13E470BD"/>
    <w:rsid w:val="13E57A4F"/>
    <w:rsid w:val="13E620B2"/>
    <w:rsid w:val="13E64BE3"/>
    <w:rsid w:val="13EB1DBD"/>
    <w:rsid w:val="140C4628"/>
    <w:rsid w:val="14170683"/>
    <w:rsid w:val="14372FD0"/>
    <w:rsid w:val="143A3A1B"/>
    <w:rsid w:val="144017DF"/>
    <w:rsid w:val="144725A6"/>
    <w:rsid w:val="144E09DA"/>
    <w:rsid w:val="14531231"/>
    <w:rsid w:val="14592DFD"/>
    <w:rsid w:val="14674C09"/>
    <w:rsid w:val="1467775C"/>
    <w:rsid w:val="14727C56"/>
    <w:rsid w:val="1475070A"/>
    <w:rsid w:val="14755F11"/>
    <w:rsid w:val="147847D5"/>
    <w:rsid w:val="14846AB8"/>
    <w:rsid w:val="14905A0C"/>
    <w:rsid w:val="14972381"/>
    <w:rsid w:val="14977658"/>
    <w:rsid w:val="149B2F99"/>
    <w:rsid w:val="14A105E7"/>
    <w:rsid w:val="14AE78FC"/>
    <w:rsid w:val="14B068FE"/>
    <w:rsid w:val="14BD6892"/>
    <w:rsid w:val="14D04A8C"/>
    <w:rsid w:val="14D409E4"/>
    <w:rsid w:val="14D55A9A"/>
    <w:rsid w:val="14D73973"/>
    <w:rsid w:val="14D978EB"/>
    <w:rsid w:val="14E37374"/>
    <w:rsid w:val="14F73B2C"/>
    <w:rsid w:val="14FD5B30"/>
    <w:rsid w:val="15097C4E"/>
    <w:rsid w:val="15150120"/>
    <w:rsid w:val="15186E8D"/>
    <w:rsid w:val="151B56CA"/>
    <w:rsid w:val="151E2FAF"/>
    <w:rsid w:val="15260672"/>
    <w:rsid w:val="153100E0"/>
    <w:rsid w:val="153C4BDF"/>
    <w:rsid w:val="1547735C"/>
    <w:rsid w:val="15481F5F"/>
    <w:rsid w:val="154C3F02"/>
    <w:rsid w:val="15570834"/>
    <w:rsid w:val="15582314"/>
    <w:rsid w:val="155C2C83"/>
    <w:rsid w:val="156758B0"/>
    <w:rsid w:val="15732B3D"/>
    <w:rsid w:val="157D6DF5"/>
    <w:rsid w:val="157E7CA2"/>
    <w:rsid w:val="158226E9"/>
    <w:rsid w:val="158507F6"/>
    <w:rsid w:val="158C48D9"/>
    <w:rsid w:val="15967589"/>
    <w:rsid w:val="159B4685"/>
    <w:rsid w:val="15A11214"/>
    <w:rsid w:val="15AD3ED0"/>
    <w:rsid w:val="15C727F2"/>
    <w:rsid w:val="15CF3257"/>
    <w:rsid w:val="15D63E7F"/>
    <w:rsid w:val="15E26192"/>
    <w:rsid w:val="15E553FB"/>
    <w:rsid w:val="15EB0E69"/>
    <w:rsid w:val="15EE7D7F"/>
    <w:rsid w:val="15FA0A52"/>
    <w:rsid w:val="16185BC4"/>
    <w:rsid w:val="161E6859"/>
    <w:rsid w:val="163141F5"/>
    <w:rsid w:val="16393655"/>
    <w:rsid w:val="163A2906"/>
    <w:rsid w:val="163B2BA9"/>
    <w:rsid w:val="163E73B6"/>
    <w:rsid w:val="163F44E4"/>
    <w:rsid w:val="16471E96"/>
    <w:rsid w:val="1651030E"/>
    <w:rsid w:val="166431D5"/>
    <w:rsid w:val="16646293"/>
    <w:rsid w:val="16714203"/>
    <w:rsid w:val="167518D5"/>
    <w:rsid w:val="16785479"/>
    <w:rsid w:val="167F1D76"/>
    <w:rsid w:val="16847E84"/>
    <w:rsid w:val="16860986"/>
    <w:rsid w:val="16A36DBB"/>
    <w:rsid w:val="16C47023"/>
    <w:rsid w:val="16D86DFA"/>
    <w:rsid w:val="16EB2510"/>
    <w:rsid w:val="16ED5FF4"/>
    <w:rsid w:val="16F76D06"/>
    <w:rsid w:val="16FB6BF7"/>
    <w:rsid w:val="170154EC"/>
    <w:rsid w:val="1706734A"/>
    <w:rsid w:val="17074DA9"/>
    <w:rsid w:val="170767D7"/>
    <w:rsid w:val="17082F11"/>
    <w:rsid w:val="170E0221"/>
    <w:rsid w:val="17123F41"/>
    <w:rsid w:val="17132E3F"/>
    <w:rsid w:val="17221F62"/>
    <w:rsid w:val="172238EA"/>
    <w:rsid w:val="172E6372"/>
    <w:rsid w:val="17430EDA"/>
    <w:rsid w:val="174A5489"/>
    <w:rsid w:val="1750173D"/>
    <w:rsid w:val="176719FF"/>
    <w:rsid w:val="17710405"/>
    <w:rsid w:val="177F6BB1"/>
    <w:rsid w:val="178C72B4"/>
    <w:rsid w:val="179130B8"/>
    <w:rsid w:val="1795187C"/>
    <w:rsid w:val="179565A1"/>
    <w:rsid w:val="17AB72E5"/>
    <w:rsid w:val="17B346F1"/>
    <w:rsid w:val="17B53FEB"/>
    <w:rsid w:val="17B62B1E"/>
    <w:rsid w:val="17BB0135"/>
    <w:rsid w:val="17BC177E"/>
    <w:rsid w:val="17C03117"/>
    <w:rsid w:val="17C046B8"/>
    <w:rsid w:val="17C13ADB"/>
    <w:rsid w:val="17C523AC"/>
    <w:rsid w:val="17C65910"/>
    <w:rsid w:val="17C70888"/>
    <w:rsid w:val="17CC40F0"/>
    <w:rsid w:val="17CD4028"/>
    <w:rsid w:val="17D14D9B"/>
    <w:rsid w:val="17DF51B5"/>
    <w:rsid w:val="17E801B8"/>
    <w:rsid w:val="17F378CF"/>
    <w:rsid w:val="18001FEB"/>
    <w:rsid w:val="18216483"/>
    <w:rsid w:val="18230148"/>
    <w:rsid w:val="1823063E"/>
    <w:rsid w:val="18282132"/>
    <w:rsid w:val="182F1DCD"/>
    <w:rsid w:val="18386F0B"/>
    <w:rsid w:val="18487E8D"/>
    <w:rsid w:val="184C5231"/>
    <w:rsid w:val="184E71FB"/>
    <w:rsid w:val="18564D7F"/>
    <w:rsid w:val="18636800"/>
    <w:rsid w:val="186C7681"/>
    <w:rsid w:val="18802426"/>
    <w:rsid w:val="18816360"/>
    <w:rsid w:val="188617EF"/>
    <w:rsid w:val="18BD2AB2"/>
    <w:rsid w:val="18CA472A"/>
    <w:rsid w:val="18CE20EA"/>
    <w:rsid w:val="18E25508"/>
    <w:rsid w:val="18F677C5"/>
    <w:rsid w:val="18FA6C07"/>
    <w:rsid w:val="18FC7FF3"/>
    <w:rsid w:val="18FE11D7"/>
    <w:rsid w:val="190478B9"/>
    <w:rsid w:val="190B4449"/>
    <w:rsid w:val="19121B85"/>
    <w:rsid w:val="19123E44"/>
    <w:rsid w:val="19151AC7"/>
    <w:rsid w:val="19171C21"/>
    <w:rsid w:val="19186480"/>
    <w:rsid w:val="192041D4"/>
    <w:rsid w:val="19232435"/>
    <w:rsid w:val="192A5572"/>
    <w:rsid w:val="19334150"/>
    <w:rsid w:val="19396DC2"/>
    <w:rsid w:val="194303E2"/>
    <w:rsid w:val="19461D57"/>
    <w:rsid w:val="19492209"/>
    <w:rsid w:val="194A2931"/>
    <w:rsid w:val="194A7C8B"/>
    <w:rsid w:val="1954634B"/>
    <w:rsid w:val="197255CC"/>
    <w:rsid w:val="19766A09"/>
    <w:rsid w:val="198F0959"/>
    <w:rsid w:val="19911FF5"/>
    <w:rsid w:val="1991739F"/>
    <w:rsid w:val="1999103C"/>
    <w:rsid w:val="19A066F6"/>
    <w:rsid w:val="19B1359D"/>
    <w:rsid w:val="19B51528"/>
    <w:rsid w:val="19B66E06"/>
    <w:rsid w:val="19BB4AC7"/>
    <w:rsid w:val="19C90CB9"/>
    <w:rsid w:val="19D13C3F"/>
    <w:rsid w:val="19D630F2"/>
    <w:rsid w:val="19D65769"/>
    <w:rsid w:val="19DC3AAE"/>
    <w:rsid w:val="19E03E83"/>
    <w:rsid w:val="19E67B09"/>
    <w:rsid w:val="19E71C96"/>
    <w:rsid w:val="19E81382"/>
    <w:rsid w:val="19EC2827"/>
    <w:rsid w:val="19ED1648"/>
    <w:rsid w:val="19F5305E"/>
    <w:rsid w:val="19FC50E8"/>
    <w:rsid w:val="1A051B3B"/>
    <w:rsid w:val="1A070B8E"/>
    <w:rsid w:val="1A0A4846"/>
    <w:rsid w:val="1A0A7944"/>
    <w:rsid w:val="1A0C12FD"/>
    <w:rsid w:val="1A147F64"/>
    <w:rsid w:val="1A1F0F68"/>
    <w:rsid w:val="1A230932"/>
    <w:rsid w:val="1A266374"/>
    <w:rsid w:val="1A295829"/>
    <w:rsid w:val="1A2B05FE"/>
    <w:rsid w:val="1A2B77F4"/>
    <w:rsid w:val="1A3B37AF"/>
    <w:rsid w:val="1A412D14"/>
    <w:rsid w:val="1A422421"/>
    <w:rsid w:val="1A4B425D"/>
    <w:rsid w:val="1A51244B"/>
    <w:rsid w:val="1A522E26"/>
    <w:rsid w:val="1A5C7310"/>
    <w:rsid w:val="1A617502"/>
    <w:rsid w:val="1A620757"/>
    <w:rsid w:val="1A63312C"/>
    <w:rsid w:val="1A6525DA"/>
    <w:rsid w:val="1A7154EF"/>
    <w:rsid w:val="1A78055F"/>
    <w:rsid w:val="1A8004D1"/>
    <w:rsid w:val="1A830C8C"/>
    <w:rsid w:val="1A861C11"/>
    <w:rsid w:val="1A8E701D"/>
    <w:rsid w:val="1A911621"/>
    <w:rsid w:val="1A936D28"/>
    <w:rsid w:val="1A963D46"/>
    <w:rsid w:val="1A9A6727"/>
    <w:rsid w:val="1A9C791D"/>
    <w:rsid w:val="1AA36FC3"/>
    <w:rsid w:val="1AA646C4"/>
    <w:rsid w:val="1AA903E6"/>
    <w:rsid w:val="1AAD78D2"/>
    <w:rsid w:val="1AB07CF9"/>
    <w:rsid w:val="1AB76A45"/>
    <w:rsid w:val="1ABF1D03"/>
    <w:rsid w:val="1AC63078"/>
    <w:rsid w:val="1ACF09E6"/>
    <w:rsid w:val="1ADC0BE8"/>
    <w:rsid w:val="1AEB6F83"/>
    <w:rsid w:val="1AED2CFB"/>
    <w:rsid w:val="1AF42996"/>
    <w:rsid w:val="1AF45F6E"/>
    <w:rsid w:val="1B0A683E"/>
    <w:rsid w:val="1B0C37E8"/>
    <w:rsid w:val="1B0C6163"/>
    <w:rsid w:val="1B1113BB"/>
    <w:rsid w:val="1B140CB2"/>
    <w:rsid w:val="1B141D4E"/>
    <w:rsid w:val="1B143D97"/>
    <w:rsid w:val="1B2349B5"/>
    <w:rsid w:val="1B275300"/>
    <w:rsid w:val="1B375348"/>
    <w:rsid w:val="1B430B6D"/>
    <w:rsid w:val="1B446B4C"/>
    <w:rsid w:val="1B535E2A"/>
    <w:rsid w:val="1B5C096F"/>
    <w:rsid w:val="1B5C578B"/>
    <w:rsid w:val="1B6E7456"/>
    <w:rsid w:val="1B710915"/>
    <w:rsid w:val="1B7855B8"/>
    <w:rsid w:val="1B796265"/>
    <w:rsid w:val="1B87623F"/>
    <w:rsid w:val="1B9C54E9"/>
    <w:rsid w:val="1BB200D6"/>
    <w:rsid w:val="1BBB6955"/>
    <w:rsid w:val="1BC3580A"/>
    <w:rsid w:val="1BD568EC"/>
    <w:rsid w:val="1BD63D25"/>
    <w:rsid w:val="1BD73063"/>
    <w:rsid w:val="1BF36FB5"/>
    <w:rsid w:val="1BFB4689"/>
    <w:rsid w:val="1C00147D"/>
    <w:rsid w:val="1C0320AA"/>
    <w:rsid w:val="1C0D4C9A"/>
    <w:rsid w:val="1C1F1D32"/>
    <w:rsid w:val="1C2019B2"/>
    <w:rsid w:val="1C220782"/>
    <w:rsid w:val="1C2A5EDC"/>
    <w:rsid w:val="1C3E1134"/>
    <w:rsid w:val="1C4921B3"/>
    <w:rsid w:val="1C4F5E00"/>
    <w:rsid w:val="1C5745C1"/>
    <w:rsid w:val="1C6A041B"/>
    <w:rsid w:val="1C760ACE"/>
    <w:rsid w:val="1C8A43A5"/>
    <w:rsid w:val="1C915378"/>
    <w:rsid w:val="1C947772"/>
    <w:rsid w:val="1CA70991"/>
    <w:rsid w:val="1CA83331"/>
    <w:rsid w:val="1CA94A00"/>
    <w:rsid w:val="1CAB3B14"/>
    <w:rsid w:val="1CB0532E"/>
    <w:rsid w:val="1CB13472"/>
    <w:rsid w:val="1CC12A92"/>
    <w:rsid w:val="1CD04846"/>
    <w:rsid w:val="1CF56512"/>
    <w:rsid w:val="1D1735EF"/>
    <w:rsid w:val="1D2302A1"/>
    <w:rsid w:val="1D23220F"/>
    <w:rsid w:val="1D233D59"/>
    <w:rsid w:val="1D373DFD"/>
    <w:rsid w:val="1D447FCD"/>
    <w:rsid w:val="1D487148"/>
    <w:rsid w:val="1D4E33D1"/>
    <w:rsid w:val="1D4E64C4"/>
    <w:rsid w:val="1D5479F9"/>
    <w:rsid w:val="1D5C5F16"/>
    <w:rsid w:val="1D671CC9"/>
    <w:rsid w:val="1D69418F"/>
    <w:rsid w:val="1D701ACE"/>
    <w:rsid w:val="1D7F1C04"/>
    <w:rsid w:val="1D842529"/>
    <w:rsid w:val="1D8B67FB"/>
    <w:rsid w:val="1D8E4B81"/>
    <w:rsid w:val="1D996B0A"/>
    <w:rsid w:val="1DA1442D"/>
    <w:rsid w:val="1DB25B36"/>
    <w:rsid w:val="1DB75CB1"/>
    <w:rsid w:val="1DC9373C"/>
    <w:rsid w:val="1DDB508D"/>
    <w:rsid w:val="1DDF2920"/>
    <w:rsid w:val="1DDF4451"/>
    <w:rsid w:val="1DE35106"/>
    <w:rsid w:val="1DE7380E"/>
    <w:rsid w:val="1DED5E2E"/>
    <w:rsid w:val="1DFE6FCD"/>
    <w:rsid w:val="1E047923"/>
    <w:rsid w:val="1E0C3498"/>
    <w:rsid w:val="1E0C3ADC"/>
    <w:rsid w:val="1E1049AA"/>
    <w:rsid w:val="1E135665"/>
    <w:rsid w:val="1E1D17F8"/>
    <w:rsid w:val="1E244DDC"/>
    <w:rsid w:val="1E2A308C"/>
    <w:rsid w:val="1E2E62D1"/>
    <w:rsid w:val="1E345B9A"/>
    <w:rsid w:val="1E366FC9"/>
    <w:rsid w:val="1E396257"/>
    <w:rsid w:val="1E3C6829"/>
    <w:rsid w:val="1E3E561C"/>
    <w:rsid w:val="1E4075E6"/>
    <w:rsid w:val="1E490E3E"/>
    <w:rsid w:val="1E4C7D38"/>
    <w:rsid w:val="1E4D599F"/>
    <w:rsid w:val="1E544E3F"/>
    <w:rsid w:val="1E5628BF"/>
    <w:rsid w:val="1E6220C0"/>
    <w:rsid w:val="1E64416A"/>
    <w:rsid w:val="1E6457FD"/>
    <w:rsid w:val="1E66306B"/>
    <w:rsid w:val="1E680642"/>
    <w:rsid w:val="1E7F4175"/>
    <w:rsid w:val="1E82235E"/>
    <w:rsid w:val="1E8559F3"/>
    <w:rsid w:val="1E8B3673"/>
    <w:rsid w:val="1E9A0540"/>
    <w:rsid w:val="1EB11C8A"/>
    <w:rsid w:val="1EB4768C"/>
    <w:rsid w:val="1EBC2FC3"/>
    <w:rsid w:val="1EC83ECC"/>
    <w:rsid w:val="1ECE6E75"/>
    <w:rsid w:val="1ED95739"/>
    <w:rsid w:val="1EE324BA"/>
    <w:rsid w:val="1EE537BF"/>
    <w:rsid w:val="1EE7283A"/>
    <w:rsid w:val="1F03745E"/>
    <w:rsid w:val="1F0A753A"/>
    <w:rsid w:val="1F106FB8"/>
    <w:rsid w:val="1F170346"/>
    <w:rsid w:val="1F28772C"/>
    <w:rsid w:val="1F647304"/>
    <w:rsid w:val="1F715108"/>
    <w:rsid w:val="1F737547"/>
    <w:rsid w:val="1F772630"/>
    <w:rsid w:val="1F7A7B58"/>
    <w:rsid w:val="1F967D60"/>
    <w:rsid w:val="1FB04E08"/>
    <w:rsid w:val="1FB44D91"/>
    <w:rsid w:val="1FBA6F24"/>
    <w:rsid w:val="1FD66C0C"/>
    <w:rsid w:val="1FD77AD6"/>
    <w:rsid w:val="1FDB75C6"/>
    <w:rsid w:val="1FDE1DFA"/>
    <w:rsid w:val="1FEC7BE7"/>
    <w:rsid w:val="1FF266BE"/>
    <w:rsid w:val="1FFA69B8"/>
    <w:rsid w:val="1FFA78BA"/>
    <w:rsid w:val="2008400B"/>
    <w:rsid w:val="20101C28"/>
    <w:rsid w:val="201900EE"/>
    <w:rsid w:val="20246F40"/>
    <w:rsid w:val="202906D2"/>
    <w:rsid w:val="2029448E"/>
    <w:rsid w:val="202B7A33"/>
    <w:rsid w:val="203209F3"/>
    <w:rsid w:val="203A6210"/>
    <w:rsid w:val="20400546"/>
    <w:rsid w:val="204F264A"/>
    <w:rsid w:val="20614F5F"/>
    <w:rsid w:val="206977E0"/>
    <w:rsid w:val="206D1C0F"/>
    <w:rsid w:val="2072424B"/>
    <w:rsid w:val="20782B43"/>
    <w:rsid w:val="207D005D"/>
    <w:rsid w:val="208A2D9A"/>
    <w:rsid w:val="20946DB8"/>
    <w:rsid w:val="2099201C"/>
    <w:rsid w:val="20997C9A"/>
    <w:rsid w:val="20A7789B"/>
    <w:rsid w:val="20A91472"/>
    <w:rsid w:val="20AB035A"/>
    <w:rsid w:val="20AB4256"/>
    <w:rsid w:val="20AC5CAA"/>
    <w:rsid w:val="20C127F8"/>
    <w:rsid w:val="20DC70AF"/>
    <w:rsid w:val="20DD277B"/>
    <w:rsid w:val="20EF09AB"/>
    <w:rsid w:val="20FB17F0"/>
    <w:rsid w:val="2107150F"/>
    <w:rsid w:val="2107763B"/>
    <w:rsid w:val="210A48F8"/>
    <w:rsid w:val="210B3EDB"/>
    <w:rsid w:val="21137950"/>
    <w:rsid w:val="211F27DA"/>
    <w:rsid w:val="212D5763"/>
    <w:rsid w:val="21305134"/>
    <w:rsid w:val="21465528"/>
    <w:rsid w:val="21507B40"/>
    <w:rsid w:val="21517263"/>
    <w:rsid w:val="21533CA8"/>
    <w:rsid w:val="215D4D3C"/>
    <w:rsid w:val="21661111"/>
    <w:rsid w:val="2169033B"/>
    <w:rsid w:val="21730FAD"/>
    <w:rsid w:val="2173382E"/>
    <w:rsid w:val="21741858"/>
    <w:rsid w:val="21932A98"/>
    <w:rsid w:val="21A737BD"/>
    <w:rsid w:val="21A8172A"/>
    <w:rsid w:val="21A92E00"/>
    <w:rsid w:val="21AA6462"/>
    <w:rsid w:val="21B05726"/>
    <w:rsid w:val="21C27325"/>
    <w:rsid w:val="21C36564"/>
    <w:rsid w:val="21CC2308"/>
    <w:rsid w:val="21D02A2F"/>
    <w:rsid w:val="21D2790B"/>
    <w:rsid w:val="21D40771"/>
    <w:rsid w:val="21D81213"/>
    <w:rsid w:val="21E01EA3"/>
    <w:rsid w:val="21EE11B9"/>
    <w:rsid w:val="21F10DE5"/>
    <w:rsid w:val="21F20858"/>
    <w:rsid w:val="21F50B43"/>
    <w:rsid w:val="21F7445F"/>
    <w:rsid w:val="22181FFD"/>
    <w:rsid w:val="221945C0"/>
    <w:rsid w:val="22353B2B"/>
    <w:rsid w:val="223F443B"/>
    <w:rsid w:val="224205B1"/>
    <w:rsid w:val="2248552E"/>
    <w:rsid w:val="225B49EE"/>
    <w:rsid w:val="225B67B9"/>
    <w:rsid w:val="22616E01"/>
    <w:rsid w:val="22690B02"/>
    <w:rsid w:val="226B4005"/>
    <w:rsid w:val="226C09A9"/>
    <w:rsid w:val="22767401"/>
    <w:rsid w:val="227E5C0B"/>
    <w:rsid w:val="22800727"/>
    <w:rsid w:val="228700B2"/>
    <w:rsid w:val="22921374"/>
    <w:rsid w:val="2293630F"/>
    <w:rsid w:val="22A041F6"/>
    <w:rsid w:val="22AB7CC8"/>
    <w:rsid w:val="22C750B8"/>
    <w:rsid w:val="22CB5324"/>
    <w:rsid w:val="22E26EBD"/>
    <w:rsid w:val="22EC7DFB"/>
    <w:rsid w:val="22EE4277"/>
    <w:rsid w:val="22EF5A05"/>
    <w:rsid w:val="22F21544"/>
    <w:rsid w:val="22F42C65"/>
    <w:rsid w:val="231D7EF5"/>
    <w:rsid w:val="23234860"/>
    <w:rsid w:val="23250B58"/>
    <w:rsid w:val="23271B2D"/>
    <w:rsid w:val="232B7D71"/>
    <w:rsid w:val="232E7A9F"/>
    <w:rsid w:val="233414D0"/>
    <w:rsid w:val="233B0E5B"/>
    <w:rsid w:val="234611FA"/>
    <w:rsid w:val="234F7AFB"/>
    <w:rsid w:val="23596450"/>
    <w:rsid w:val="237006B3"/>
    <w:rsid w:val="237F40EE"/>
    <w:rsid w:val="239312F5"/>
    <w:rsid w:val="239B00EF"/>
    <w:rsid w:val="23A14683"/>
    <w:rsid w:val="23A543B3"/>
    <w:rsid w:val="23B452A1"/>
    <w:rsid w:val="23BF2D5B"/>
    <w:rsid w:val="23C43CA3"/>
    <w:rsid w:val="23E40A13"/>
    <w:rsid w:val="23EB2FB1"/>
    <w:rsid w:val="23F17A84"/>
    <w:rsid w:val="23F36740"/>
    <w:rsid w:val="24000CB1"/>
    <w:rsid w:val="240E783E"/>
    <w:rsid w:val="24106745"/>
    <w:rsid w:val="241565BF"/>
    <w:rsid w:val="241B04C9"/>
    <w:rsid w:val="241F1A4B"/>
    <w:rsid w:val="2421306D"/>
    <w:rsid w:val="242375F4"/>
    <w:rsid w:val="2423794E"/>
    <w:rsid w:val="242B219E"/>
    <w:rsid w:val="242F51F8"/>
    <w:rsid w:val="24356AF4"/>
    <w:rsid w:val="243A311A"/>
    <w:rsid w:val="246114DA"/>
    <w:rsid w:val="246C3BA8"/>
    <w:rsid w:val="246E5D54"/>
    <w:rsid w:val="246F0D72"/>
    <w:rsid w:val="24700EB7"/>
    <w:rsid w:val="24771887"/>
    <w:rsid w:val="247B1B1E"/>
    <w:rsid w:val="24831486"/>
    <w:rsid w:val="24885842"/>
    <w:rsid w:val="2491720E"/>
    <w:rsid w:val="2492046F"/>
    <w:rsid w:val="2496712D"/>
    <w:rsid w:val="24A577B5"/>
    <w:rsid w:val="24AF5CBB"/>
    <w:rsid w:val="24D7158D"/>
    <w:rsid w:val="24D82326"/>
    <w:rsid w:val="24DE36B4"/>
    <w:rsid w:val="24EE1EF4"/>
    <w:rsid w:val="24F94859"/>
    <w:rsid w:val="24FD2A9C"/>
    <w:rsid w:val="25006B96"/>
    <w:rsid w:val="25053949"/>
    <w:rsid w:val="25067D3D"/>
    <w:rsid w:val="25151B49"/>
    <w:rsid w:val="25180D86"/>
    <w:rsid w:val="251F61EB"/>
    <w:rsid w:val="25203CCD"/>
    <w:rsid w:val="25221F7E"/>
    <w:rsid w:val="252A5A7D"/>
    <w:rsid w:val="25301FCB"/>
    <w:rsid w:val="253D18A5"/>
    <w:rsid w:val="25406664"/>
    <w:rsid w:val="254E25E8"/>
    <w:rsid w:val="25526E4B"/>
    <w:rsid w:val="255E0351"/>
    <w:rsid w:val="2560785E"/>
    <w:rsid w:val="25675953"/>
    <w:rsid w:val="25685BB4"/>
    <w:rsid w:val="256C0FBF"/>
    <w:rsid w:val="25951FC5"/>
    <w:rsid w:val="25965DEB"/>
    <w:rsid w:val="25A048DD"/>
    <w:rsid w:val="25A121E1"/>
    <w:rsid w:val="25A76D56"/>
    <w:rsid w:val="25AF639B"/>
    <w:rsid w:val="25B21D4E"/>
    <w:rsid w:val="25B22B68"/>
    <w:rsid w:val="25B76FF0"/>
    <w:rsid w:val="25BA296C"/>
    <w:rsid w:val="25CB51FF"/>
    <w:rsid w:val="25D22577"/>
    <w:rsid w:val="25D35F0A"/>
    <w:rsid w:val="25D6438C"/>
    <w:rsid w:val="25DB04AA"/>
    <w:rsid w:val="25E568FD"/>
    <w:rsid w:val="25F00B91"/>
    <w:rsid w:val="25FD7B6A"/>
    <w:rsid w:val="2607652C"/>
    <w:rsid w:val="26234F74"/>
    <w:rsid w:val="26296912"/>
    <w:rsid w:val="264136D1"/>
    <w:rsid w:val="26467A4A"/>
    <w:rsid w:val="26490114"/>
    <w:rsid w:val="265213ED"/>
    <w:rsid w:val="265818C5"/>
    <w:rsid w:val="266A2317"/>
    <w:rsid w:val="2681079B"/>
    <w:rsid w:val="268B6FC8"/>
    <w:rsid w:val="269D57C9"/>
    <w:rsid w:val="26A54E2B"/>
    <w:rsid w:val="26A60202"/>
    <w:rsid w:val="26AC4F7F"/>
    <w:rsid w:val="26AE6283"/>
    <w:rsid w:val="26BB1EFF"/>
    <w:rsid w:val="26BE72FA"/>
    <w:rsid w:val="26CB098F"/>
    <w:rsid w:val="26D05437"/>
    <w:rsid w:val="26D95C11"/>
    <w:rsid w:val="26DA5E4E"/>
    <w:rsid w:val="26DC6C9C"/>
    <w:rsid w:val="26E776E2"/>
    <w:rsid w:val="26EA00EF"/>
    <w:rsid w:val="26F61EFB"/>
    <w:rsid w:val="26F9507E"/>
    <w:rsid w:val="2700223F"/>
    <w:rsid w:val="2704468E"/>
    <w:rsid w:val="270932F8"/>
    <w:rsid w:val="270F3FF9"/>
    <w:rsid w:val="27152293"/>
    <w:rsid w:val="271635D9"/>
    <w:rsid w:val="272A0153"/>
    <w:rsid w:val="273E1A3B"/>
    <w:rsid w:val="273E668C"/>
    <w:rsid w:val="27505A8D"/>
    <w:rsid w:val="27523F39"/>
    <w:rsid w:val="27561C28"/>
    <w:rsid w:val="275F7811"/>
    <w:rsid w:val="2764472D"/>
    <w:rsid w:val="276F2ABE"/>
    <w:rsid w:val="27715E45"/>
    <w:rsid w:val="27750BF1"/>
    <w:rsid w:val="27781B9E"/>
    <w:rsid w:val="2778594C"/>
    <w:rsid w:val="27800A53"/>
    <w:rsid w:val="278504E5"/>
    <w:rsid w:val="27886AF3"/>
    <w:rsid w:val="278A496D"/>
    <w:rsid w:val="27A855C7"/>
    <w:rsid w:val="27AF30C2"/>
    <w:rsid w:val="27B473F0"/>
    <w:rsid w:val="27B8253B"/>
    <w:rsid w:val="27BC5D03"/>
    <w:rsid w:val="27C24441"/>
    <w:rsid w:val="27E66688"/>
    <w:rsid w:val="27E72695"/>
    <w:rsid w:val="27E735FD"/>
    <w:rsid w:val="27F13662"/>
    <w:rsid w:val="27F76F67"/>
    <w:rsid w:val="27F820D0"/>
    <w:rsid w:val="27FE7580"/>
    <w:rsid w:val="280571E1"/>
    <w:rsid w:val="28083D44"/>
    <w:rsid w:val="28131BFC"/>
    <w:rsid w:val="281976EF"/>
    <w:rsid w:val="281A0EA7"/>
    <w:rsid w:val="28203CD3"/>
    <w:rsid w:val="282B4067"/>
    <w:rsid w:val="282E3CB3"/>
    <w:rsid w:val="282F5048"/>
    <w:rsid w:val="28391D97"/>
    <w:rsid w:val="28431B9D"/>
    <w:rsid w:val="28445ED0"/>
    <w:rsid w:val="28451727"/>
    <w:rsid w:val="285C14C0"/>
    <w:rsid w:val="28812313"/>
    <w:rsid w:val="28855AD3"/>
    <w:rsid w:val="28861F50"/>
    <w:rsid w:val="288C6236"/>
    <w:rsid w:val="289E1E5B"/>
    <w:rsid w:val="28A075FF"/>
    <w:rsid w:val="28AA3FD9"/>
    <w:rsid w:val="28B37A7B"/>
    <w:rsid w:val="28BA0084"/>
    <w:rsid w:val="28C50E13"/>
    <w:rsid w:val="28C54707"/>
    <w:rsid w:val="28DC1722"/>
    <w:rsid w:val="28E9232B"/>
    <w:rsid w:val="28FB4EDD"/>
    <w:rsid w:val="29067F00"/>
    <w:rsid w:val="290F7FEC"/>
    <w:rsid w:val="291122AA"/>
    <w:rsid w:val="29215D08"/>
    <w:rsid w:val="29427A44"/>
    <w:rsid w:val="29437CAA"/>
    <w:rsid w:val="294766B1"/>
    <w:rsid w:val="295464C2"/>
    <w:rsid w:val="29585E62"/>
    <w:rsid w:val="295D00EB"/>
    <w:rsid w:val="295E4DC4"/>
    <w:rsid w:val="2960326E"/>
    <w:rsid w:val="296C2904"/>
    <w:rsid w:val="29747D6C"/>
    <w:rsid w:val="298D4206"/>
    <w:rsid w:val="29A11532"/>
    <w:rsid w:val="29A273A6"/>
    <w:rsid w:val="29BF3AB4"/>
    <w:rsid w:val="29C03CDC"/>
    <w:rsid w:val="29C4731D"/>
    <w:rsid w:val="29D34C64"/>
    <w:rsid w:val="29E67293"/>
    <w:rsid w:val="29E909A2"/>
    <w:rsid w:val="29EC0622"/>
    <w:rsid w:val="29F32A56"/>
    <w:rsid w:val="29F4615A"/>
    <w:rsid w:val="29FA346D"/>
    <w:rsid w:val="2A021BF3"/>
    <w:rsid w:val="2A0362FB"/>
    <w:rsid w:val="2A082782"/>
    <w:rsid w:val="2A0B4F4C"/>
    <w:rsid w:val="2A1C2CB5"/>
    <w:rsid w:val="2A2F2BB2"/>
    <w:rsid w:val="2A305844"/>
    <w:rsid w:val="2A34441D"/>
    <w:rsid w:val="2A47477C"/>
    <w:rsid w:val="2A6E5785"/>
    <w:rsid w:val="2A74238E"/>
    <w:rsid w:val="2A765EE2"/>
    <w:rsid w:val="2A777373"/>
    <w:rsid w:val="2A831552"/>
    <w:rsid w:val="2A8F6C5B"/>
    <w:rsid w:val="2A937808"/>
    <w:rsid w:val="2A9C51F4"/>
    <w:rsid w:val="2AA21F34"/>
    <w:rsid w:val="2AA63551"/>
    <w:rsid w:val="2AAF1D7B"/>
    <w:rsid w:val="2AAF3AE2"/>
    <w:rsid w:val="2AD07052"/>
    <w:rsid w:val="2AD74E2E"/>
    <w:rsid w:val="2AD858FD"/>
    <w:rsid w:val="2AE337D3"/>
    <w:rsid w:val="2AEB08D9"/>
    <w:rsid w:val="2AEE0A48"/>
    <w:rsid w:val="2AF12700"/>
    <w:rsid w:val="2AF25638"/>
    <w:rsid w:val="2AF35256"/>
    <w:rsid w:val="2AF8590E"/>
    <w:rsid w:val="2B0E7786"/>
    <w:rsid w:val="2B0F62FC"/>
    <w:rsid w:val="2B167EE9"/>
    <w:rsid w:val="2B1B15F8"/>
    <w:rsid w:val="2B302A5C"/>
    <w:rsid w:val="2B34402E"/>
    <w:rsid w:val="2B3B4486"/>
    <w:rsid w:val="2B417007"/>
    <w:rsid w:val="2B436C87"/>
    <w:rsid w:val="2B445FD8"/>
    <w:rsid w:val="2B585F6F"/>
    <w:rsid w:val="2B6366C1"/>
    <w:rsid w:val="2B674404"/>
    <w:rsid w:val="2B8128B0"/>
    <w:rsid w:val="2B86406E"/>
    <w:rsid w:val="2B8D5B0D"/>
    <w:rsid w:val="2BA37FA5"/>
    <w:rsid w:val="2BA91EAE"/>
    <w:rsid w:val="2BA9559E"/>
    <w:rsid w:val="2BAA5436"/>
    <w:rsid w:val="2BB533B0"/>
    <w:rsid w:val="2BBB64FD"/>
    <w:rsid w:val="2BC01D66"/>
    <w:rsid w:val="2BC74CE2"/>
    <w:rsid w:val="2BDD46C6"/>
    <w:rsid w:val="2BEB779A"/>
    <w:rsid w:val="2BED0F4A"/>
    <w:rsid w:val="2BF20872"/>
    <w:rsid w:val="2C01471C"/>
    <w:rsid w:val="2C060382"/>
    <w:rsid w:val="2C0A4093"/>
    <w:rsid w:val="2C2E552B"/>
    <w:rsid w:val="2C5B472A"/>
    <w:rsid w:val="2C5B5DEF"/>
    <w:rsid w:val="2C5D39B2"/>
    <w:rsid w:val="2C7B6DFD"/>
    <w:rsid w:val="2C8518F7"/>
    <w:rsid w:val="2C8C7149"/>
    <w:rsid w:val="2C940BB2"/>
    <w:rsid w:val="2C9E56F2"/>
    <w:rsid w:val="2CA7654E"/>
    <w:rsid w:val="2CAE25A6"/>
    <w:rsid w:val="2CAE5E5B"/>
    <w:rsid w:val="2CCD102F"/>
    <w:rsid w:val="2CCF04B2"/>
    <w:rsid w:val="2CD0356E"/>
    <w:rsid w:val="2CD87154"/>
    <w:rsid w:val="2CDC61D3"/>
    <w:rsid w:val="2CE72BBB"/>
    <w:rsid w:val="2CEB2E12"/>
    <w:rsid w:val="2CF20F4C"/>
    <w:rsid w:val="2D0363AE"/>
    <w:rsid w:val="2D067BEC"/>
    <w:rsid w:val="2D083ECF"/>
    <w:rsid w:val="2D0B6F58"/>
    <w:rsid w:val="2D12352C"/>
    <w:rsid w:val="2D1B7E66"/>
    <w:rsid w:val="2D214A86"/>
    <w:rsid w:val="2D2D4261"/>
    <w:rsid w:val="2D2D4A56"/>
    <w:rsid w:val="2D300A31"/>
    <w:rsid w:val="2D367003"/>
    <w:rsid w:val="2D391DD0"/>
    <w:rsid w:val="2D470610"/>
    <w:rsid w:val="2D4860D7"/>
    <w:rsid w:val="2D4B705C"/>
    <w:rsid w:val="2D50015E"/>
    <w:rsid w:val="2D6B05B4"/>
    <w:rsid w:val="2D6B6607"/>
    <w:rsid w:val="2D6F0515"/>
    <w:rsid w:val="2D83304B"/>
    <w:rsid w:val="2D866137"/>
    <w:rsid w:val="2D8A48A8"/>
    <w:rsid w:val="2D8E6471"/>
    <w:rsid w:val="2D9554F1"/>
    <w:rsid w:val="2D962C2E"/>
    <w:rsid w:val="2D977D3E"/>
    <w:rsid w:val="2D9D235F"/>
    <w:rsid w:val="2DAF3E40"/>
    <w:rsid w:val="2DBB00D4"/>
    <w:rsid w:val="2DC378EB"/>
    <w:rsid w:val="2DC8572C"/>
    <w:rsid w:val="2DCA0D43"/>
    <w:rsid w:val="2DED42AC"/>
    <w:rsid w:val="2DFC5365"/>
    <w:rsid w:val="2DFD2AA4"/>
    <w:rsid w:val="2DFE29B7"/>
    <w:rsid w:val="2E063012"/>
    <w:rsid w:val="2E072AA9"/>
    <w:rsid w:val="2E175FA9"/>
    <w:rsid w:val="2E200339"/>
    <w:rsid w:val="2E220BEA"/>
    <w:rsid w:val="2E25000C"/>
    <w:rsid w:val="2E32193B"/>
    <w:rsid w:val="2E392F37"/>
    <w:rsid w:val="2E3B21E8"/>
    <w:rsid w:val="2E424CB4"/>
    <w:rsid w:val="2E4568DE"/>
    <w:rsid w:val="2E461D92"/>
    <w:rsid w:val="2E675E80"/>
    <w:rsid w:val="2E683FB0"/>
    <w:rsid w:val="2E7867C9"/>
    <w:rsid w:val="2E9D013C"/>
    <w:rsid w:val="2EA37A97"/>
    <w:rsid w:val="2EA93FB1"/>
    <w:rsid w:val="2EAA249B"/>
    <w:rsid w:val="2EB711FE"/>
    <w:rsid w:val="2EC13169"/>
    <w:rsid w:val="2EC712B9"/>
    <w:rsid w:val="2EC8340B"/>
    <w:rsid w:val="2ECB4CA9"/>
    <w:rsid w:val="2ED162DE"/>
    <w:rsid w:val="2EDE232E"/>
    <w:rsid w:val="2EDF2CF6"/>
    <w:rsid w:val="2EEC1BAF"/>
    <w:rsid w:val="2EFA351F"/>
    <w:rsid w:val="2F127C92"/>
    <w:rsid w:val="2F2075F4"/>
    <w:rsid w:val="2F210FDF"/>
    <w:rsid w:val="2F475B9D"/>
    <w:rsid w:val="2F5710CC"/>
    <w:rsid w:val="2F5F7B11"/>
    <w:rsid w:val="2F7666EC"/>
    <w:rsid w:val="2F79671F"/>
    <w:rsid w:val="2F7B24AE"/>
    <w:rsid w:val="2F7C41FD"/>
    <w:rsid w:val="2F801722"/>
    <w:rsid w:val="2F835A02"/>
    <w:rsid w:val="2F9959A7"/>
    <w:rsid w:val="2F9A3FAC"/>
    <w:rsid w:val="2F9A42F1"/>
    <w:rsid w:val="2F9C03F4"/>
    <w:rsid w:val="2FA0261B"/>
    <w:rsid w:val="2FA32749"/>
    <w:rsid w:val="2FA70DCA"/>
    <w:rsid w:val="2FB1675F"/>
    <w:rsid w:val="2FBE2364"/>
    <w:rsid w:val="2FCD70FB"/>
    <w:rsid w:val="2FDB4AB5"/>
    <w:rsid w:val="2FE63150"/>
    <w:rsid w:val="2FE9188B"/>
    <w:rsid w:val="2FEB1DD6"/>
    <w:rsid w:val="2FEB2B40"/>
    <w:rsid w:val="2FEC137B"/>
    <w:rsid w:val="2FF16DA8"/>
    <w:rsid w:val="30021B53"/>
    <w:rsid w:val="300328A3"/>
    <w:rsid w:val="300A1801"/>
    <w:rsid w:val="30153016"/>
    <w:rsid w:val="30164304"/>
    <w:rsid w:val="30164F71"/>
    <w:rsid w:val="30177460"/>
    <w:rsid w:val="30230DCE"/>
    <w:rsid w:val="3034687E"/>
    <w:rsid w:val="305D3167"/>
    <w:rsid w:val="306058C5"/>
    <w:rsid w:val="3062177A"/>
    <w:rsid w:val="30786D19"/>
    <w:rsid w:val="307A0735"/>
    <w:rsid w:val="308711F8"/>
    <w:rsid w:val="308C0468"/>
    <w:rsid w:val="3090030D"/>
    <w:rsid w:val="309D06CD"/>
    <w:rsid w:val="30AA522E"/>
    <w:rsid w:val="30AA595F"/>
    <w:rsid w:val="30B05F05"/>
    <w:rsid w:val="30B4492E"/>
    <w:rsid w:val="30B5176D"/>
    <w:rsid w:val="30CC5FF6"/>
    <w:rsid w:val="30D36DB0"/>
    <w:rsid w:val="30E363AE"/>
    <w:rsid w:val="30EF0CD6"/>
    <w:rsid w:val="30F20AA2"/>
    <w:rsid w:val="30F2145C"/>
    <w:rsid w:val="30FD0EF8"/>
    <w:rsid w:val="310622FB"/>
    <w:rsid w:val="311741D6"/>
    <w:rsid w:val="3119763F"/>
    <w:rsid w:val="311C4B9B"/>
    <w:rsid w:val="312E32CE"/>
    <w:rsid w:val="312E383F"/>
    <w:rsid w:val="31337962"/>
    <w:rsid w:val="31364960"/>
    <w:rsid w:val="313A234D"/>
    <w:rsid w:val="313C4D53"/>
    <w:rsid w:val="314011DB"/>
    <w:rsid w:val="314174A5"/>
    <w:rsid w:val="31462A6F"/>
    <w:rsid w:val="31475C3D"/>
    <w:rsid w:val="315C01CB"/>
    <w:rsid w:val="31611CA0"/>
    <w:rsid w:val="316D498C"/>
    <w:rsid w:val="31714AB8"/>
    <w:rsid w:val="317433D6"/>
    <w:rsid w:val="317E24A7"/>
    <w:rsid w:val="318B67D0"/>
    <w:rsid w:val="31907057"/>
    <w:rsid w:val="319566E7"/>
    <w:rsid w:val="31A02183"/>
    <w:rsid w:val="31A747EE"/>
    <w:rsid w:val="31AA3B5A"/>
    <w:rsid w:val="31AD3D8D"/>
    <w:rsid w:val="31AE11EC"/>
    <w:rsid w:val="31B277A4"/>
    <w:rsid w:val="31C0752B"/>
    <w:rsid w:val="31C2199D"/>
    <w:rsid w:val="31CA5F75"/>
    <w:rsid w:val="31CB304A"/>
    <w:rsid w:val="31CF685F"/>
    <w:rsid w:val="31D41A4F"/>
    <w:rsid w:val="31D5284E"/>
    <w:rsid w:val="31D846C2"/>
    <w:rsid w:val="31EB36ED"/>
    <w:rsid w:val="31FD113F"/>
    <w:rsid w:val="32294658"/>
    <w:rsid w:val="322D5960"/>
    <w:rsid w:val="32361638"/>
    <w:rsid w:val="32384BA0"/>
    <w:rsid w:val="323D3C41"/>
    <w:rsid w:val="323D74C4"/>
    <w:rsid w:val="32472899"/>
    <w:rsid w:val="325767A5"/>
    <w:rsid w:val="325E05CB"/>
    <w:rsid w:val="325E19B3"/>
    <w:rsid w:val="325E612F"/>
    <w:rsid w:val="326170B4"/>
    <w:rsid w:val="32635E3A"/>
    <w:rsid w:val="32667E6D"/>
    <w:rsid w:val="326D0948"/>
    <w:rsid w:val="326F0BE0"/>
    <w:rsid w:val="328310F3"/>
    <w:rsid w:val="328E3CCA"/>
    <w:rsid w:val="32A77A8F"/>
    <w:rsid w:val="32BD36EC"/>
    <w:rsid w:val="32D57073"/>
    <w:rsid w:val="32D60378"/>
    <w:rsid w:val="32EA1597"/>
    <w:rsid w:val="32F50C25"/>
    <w:rsid w:val="32F51B26"/>
    <w:rsid w:val="33024A12"/>
    <w:rsid w:val="3305214F"/>
    <w:rsid w:val="330A6248"/>
    <w:rsid w:val="330E17AF"/>
    <w:rsid w:val="331B52DE"/>
    <w:rsid w:val="331F55C4"/>
    <w:rsid w:val="332562B4"/>
    <w:rsid w:val="33267365"/>
    <w:rsid w:val="332826CA"/>
    <w:rsid w:val="332E3722"/>
    <w:rsid w:val="33301B17"/>
    <w:rsid w:val="3330481B"/>
    <w:rsid w:val="33312538"/>
    <w:rsid w:val="333318B6"/>
    <w:rsid w:val="334141A4"/>
    <w:rsid w:val="33424E2A"/>
    <w:rsid w:val="33452BAA"/>
    <w:rsid w:val="334942E0"/>
    <w:rsid w:val="33616C57"/>
    <w:rsid w:val="33653760"/>
    <w:rsid w:val="336947B9"/>
    <w:rsid w:val="33755B06"/>
    <w:rsid w:val="33792F26"/>
    <w:rsid w:val="338640E7"/>
    <w:rsid w:val="338730EC"/>
    <w:rsid w:val="33A002A3"/>
    <w:rsid w:val="33AC157E"/>
    <w:rsid w:val="33AF4DBB"/>
    <w:rsid w:val="33B63D56"/>
    <w:rsid w:val="33B850E7"/>
    <w:rsid w:val="33C63BC8"/>
    <w:rsid w:val="33C7372E"/>
    <w:rsid w:val="33CF0D98"/>
    <w:rsid w:val="33D23A23"/>
    <w:rsid w:val="33D32314"/>
    <w:rsid w:val="33D37375"/>
    <w:rsid w:val="33D503B0"/>
    <w:rsid w:val="33D733AD"/>
    <w:rsid w:val="33E72797"/>
    <w:rsid w:val="33EA5BD2"/>
    <w:rsid w:val="33F470A2"/>
    <w:rsid w:val="34160A21"/>
    <w:rsid w:val="342A2BCD"/>
    <w:rsid w:val="34325184"/>
    <w:rsid w:val="343672FC"/>
    <w:rsid w:val="34542D67"/>
    <w:rsid w:val="34594B05"/>
    <w:rsid w:val="345E1D9E"/>
    <w:rsid w:val="34605F81"/>
    <w:rsid w:val="349415D2"/>
    <w:rsid w:val="349555B6"/>
    <w:rsid w:val="34A4221E"/>
    <w:rsid w:val="34A97341"/>
    <w:rsid w:val="34B76064"/>
    <w:rsid w:val="34BA7F78"/>
    <w:rsid w:val="34BF4CAA"/>
    <w:rsid w:val="34C346A0"/>
    <w:rsid w:val="34D348B8"/>
    <w:rsid w:val="34DF4275"/>
    <w:rsid w:val="34E30266"/>
    <w:rsid w:val="34EC697D"/>
    <w:rsid w:val="34F279F0"/>
    <w:rsid w:val="34F91D53"/>
    <w:rsid w:val="3516505F"/>
    <w:rsid w:val="351E2DF4"/>
    <w:rsid w:val="35386E11"/>
    <w:rsid w:val="353F1A6B"/>
    <w:rsid w:val="3548237A"/>
    <w:rsid w:val="354B08F2"/>
    <w:rsid w:val="354E03E2"/>
    <w:rsid w:val="35575127"/>
    <w:rsid w:val="35650626"/>
    <w:rsid w:val="357C591D"/>
    <w:rsid w:val="357F7038"/>
    <w:rsid w:val="35814314"/>
    <w:rsid w:val="358878E1"/>
    <w:rsid w:val="3589141A"/>
    <w:rsid w:val="35902FF5"/>
    <w:rsid w:val="3593489E"/>
    <w:rsid w:val="35964678"/>
    <w:rsid w:val="35AF70D3"/>
    <w:rsid w:val="35B446E9"/>
    <w:rsid w:val="35B73CBC"/>
    <w:rsid w:val="35BF175E"/>
    <w:rsid w:val="35D208A2"/>
    <w:rsid w:val="35DE3514"/>
    <w:rsid w:val="35E53705"/>
    <w:rsid w:val="35F274A5"/>
    <w:rsid w:val="35F4485F"/>
    <w:rsid w:val="35F5260C"/>
    <w:rsid w:val="35F72828"/>
    <w:rsid w:val="35F75996"/>
    <w:rsid w:val="3601427E"/>
    <w:rsid w:val="36077BD3"/>
    <w:rsid w:val="360B5BFB"/>
    <w:rsid w:val="36126AF0"/>
    <w:rsid w:val="361C403D"/>
    <w:rsid w:val="361F010B"/>
    <w:rsid w:val="36200D59"/>
    <w:rsid w:val="363475D8"/>
    <w:rsid w:val="36371E64"/>
    <w:rsid w:val="3639699D"/>
    <w:rsid w:val="364239C5"/>
    <w:rsid w:val="36486BE0"/>
    <w:rsid w:val="365D4441"/>
    <w:rsid w:val="36607CD1"/>
    <w:rsid w:val="3676660C"/>
    <w:rsid w:val="369418EA"/>
    <w:rsid w:val="36965B9D"/>
    <w:rsid w:val="3697610B"/>
    <w:rsid w:val="3697617A"/>
    <w:rsid w:val="369E2CA4"/>
    <w:rsid w:val="36A31332"/>
    <w:rsid w:val="36A66159"/>
    <w:rsid w:val="36B00C7E"/>
    <w:rsid w:val="36C44DF1"/>
    <w:rsid w:val="36CC7811"/>
    <w:rsid w:val="36CF4037"/>
    <w:rsid w:val="36D00322"/>
    <w:rsid w:val="36D578C8"/>
    <w:rsid w:val="36DF3716"/>
    <w:rsid w:val="36F33C0B"/>
    <w:rsid w:val="36FE0747"/>
    <w:rsid w:val="370D27F1"/>
    <w:rsid w:val="37145AAB"/>
    <w:rsid w:val="37176782"/>
    <w:rsid w:val="371977AB"/>
    <w:rsid w:val="371F5BA8"/>
    <w:rsid w:val="37217B5C"/>
    <w:rsid w:val="372B2510"/>
    <w:rsid w:val="372B5C2D"/>
    <w:rsid w:val="37325C74"/>
    <w:rsid w:val="37335FD9"/>
    <w:rsid w:val="37441439"/>
    <w:rsid w:val="374750E9"/>
    <w:rsid w:val="37512750"/>
    <w:rsid w:val="37566D6C"/>
    <w:rsid w:val="37604F68"/>
    <w:rsid w:val="37674A7F"/>
    <w:rsid w:val="377309D7"/>
    <w:rsid w:val="37753A04"/>
    <w:rsid w:val="377A4170"/>
    <w:rsid w:val="378365F0"/>
    <w:rsid w:val="3786679F"/>
    <w:rsid w:val="378C1798"/>
    <w:rsid w:val="378D6D31"/>
    <w:rsid w:val="37905D69"/>
    <w:rsid w:val="379D16DB"/>
    <w:rsid w:val="379E284F"/>
    <w:rsid w:val="379F018E"/>
    <w:rsid w:val="37A617AD"/>
    <w:rsid w:val="37B214EF"/>
    <w:rsid w:val="37CA2B6C"/>
    <w:rsid w:val="37D44BCF"/>
    <w:rsid w:val="37E342B5"/>
    <w:rsid w:val="38034E30"/>
    <w:rsid w:val="380D38A8"/>
    <w:rsid w:val="3814146F"/>
    <w:rsid w:val="381947FC"/>
    <w:rsid w:val="38233460"/>
    <w:rsid w:val="3842555B"/>
    <w:rsid w:val="38457835"/>
    <w:rsid w:val="384F554C"/>
    <w:rsid w:val="38666A14"/>
    <w:rsid w:val="386A5533"/>
    <w:rsid w:val="388F6840"/>
    <w:rsid w:val="388F7C2C"/>
    <w:rsid w:val="389B56ED"/>
    <w:rsid w:val="389E45F0"/>
    <w:rsid w:val="38A8605B"/>
    <w:rsid w:val="38AA5A19"/>
    <w:rsid w:val="38AF1198"/>
    <w:rsid w:val="38BE1A7C"/>
    <w:rsid w:val="38BF1125"/>
    <w:rsid w:val="38C00425"/>
    <w:rsid w:val="38CC58A6"/>
    <w:rsid w:val="38D96D53"/>
    <w:rsid w:val="38E02A75"/>
    <w:rsid w:val="38F1355F"/>
    <w:rsid w:val="38FD240B"/>
    <w:rsid w:val="3904031C"/>
    <w:rsid w:val="39092BAB"/>
    <w:rsid w:val="390B22B4"/>
    <w:rsid w:val="391E61C3"/>
    <w:rsid w:val="391F3C45"/>
    <w:rsid w:val="3923264B"/>
    <w:rsid w:val="39241B86"/>
    <w:rsid w:val="392A081F"/>
    <w:rsid w:val="392C4D4B"/>
    <w:rsid w:val="394967A2"/>
    <w:rsid w:val="395A7356"/>
    <w:rsid w:val="396264BA"/>
    <w:rsid w:val="39657AA9"/>
    <w:rsid w:val="396C6330"/>
    <w:rsid w:val="39734469"/>
    <w:rsid w:val="39873EC3"/>
    <w:rsid w:val="39A21341"/>
    <w:rsid w:val="39A22AAB"/>
    <w:rsid w:val="39AB5D54"/>
    <w:rsid w:val="39AB70AC"/>
    <w:rsid w:val="39AE2732"/>
    <w:rsid w:val="39AF38D7"/>
    <w:rsid w:val="39B24046"/>
    <w:rsid w:val="39B44138"/>
    <w:rsid w:val="39B6232E"/>
    <w:rsid w:val="39C75357"/>
    <w:rsid w:val="39D114EA"/>
    <w:rsid w:val="39E11825"/>
    <w:rsid w:val="39E34C87"/>
    <w:rsid w:val="39EB6200"/>
    <w:rsid w:val="39ED24A5"/>
    <w:rsid w:val="39F20D91"/>
    <w:rsid w:val="39FB4B0B"/>
    <w:rsid w:val="39FD5F33"/>
    <w:rsid w:val="3A0719C4"/>
    <w:rsid w:val="3A1E35A8"/>
    <w:rsid w:val="3A1F5EA9"/>
    <w:rsid w:val="3A26548A"/>
    <w:rsid w:val="3A287454"/>
    <w:rsid w:val="3A2B2E7D"/>
    <w:rsid w:val="3A2C5A9A"/>
    <w:rsid w:val="3A2E3E02"/>
    <w:rsid w:val="3A306341"/>
    <w:rsid w:val="3A325D32"/>
    <w:rsid w:val="3A373EBD"/>
    <w:rsid w:val="3A375490"/>
    <w:rsid w:val="3A4D3499"/>
    <w:rsid w:val="3A563FC1"/>
    <w:rsid w:val="3A5771C4"/>
    <w:rsid w:val="3A5C04DB"/>
    <w:rsid w:val="3A60099C"/>
    <w:rsid w:val="3A614612"/>
    <w:rsid w:val="3A71637B"/>
    <w:rsid w:val="3A8C79E3"/>
    <w:rsid w:val="3AA7626C"/>
    <w:rsid w:val="3AA9374B"/>
    <w:rsid w:val="3AAD3314"/>
    <w:rsid w:val="3ABD16B9"/>
    <w:rsid w:val="3ABE7E6D"/>
    <w:rsid w:val="3AC31841"/>
    <w:rsid w:val="3AC727C9"/>
    <w:rsid w:val="3AC75A7B"/>
    <w:rsid w:val="3AC827FE"/>
    <w:rsid w:val="3ADA4705"/>
    <w:rsid w:val="3AE64432"/>
    <w:rsid w:val="3AEF7F72"/>
    <w:rsid w:val="3B07409D"/>
    <w:rsid w:val="3B1043F4"/>
    <w:rsid w:val="3B1925BB"/>
    <w:rsid w:val="3B19690E"/>
    <w:rsid w:val="3B2574E7"/>
    <w:rsid w:val="3B281B20"/>
    <w:rsid w:val="3B2D10ED"/>
    <w:rsid w:val="3B321B50"/>
    <w:rsid w:val="3B377870"/>
    <w:rsid w:val="3B38214B"/>
    <w:rsid w:val="3B387B37"/>
    <w:rsid w:val="3B3C308E"/>
    <w:rsid w:val="3B4300C7"/>
    <w:rsid w:val="3B4419E7"/>
    <w:rsid w:val="3B5D1FC1"/>
    <w:rsid w:val="3B6F4C0F"/>
    <w:rsid w:val="3B774B39"/>
    <w:rsid w:val="3B7D37CF"/>
    <w:rsid w:val="3B7F0FEB"/>
    <w:rsid w:val="3B8A1A7E"/>
    <w:rsid w:val="3B8C75C1"/>
    <w:rsid w:val="3B8F2744"/>
    <w:rsid w:val="3BA43DA1"/>
    <w:rsid w:val="3BA94D4D"/>
    <w:rsid w:val="3BB32E97"/>
    <w:rsid w:val="3BCB44F6"/>
    <w:rsid w:val="3BCF352E"/>
    <w:rsid w:val="3BD33568"/>
    <w:rsid w:val="3BEF3A63"/>
    <w:rsid w:val="3BF03FA1"/>
    <w:rsid w:val="3C0D74A9"/>
    <w:rsid w:val="3C0E4427"/>
    <w:rsid w:val="3C3022CE"/>
    <w:rsid w:val="3C39735A"/>
    <w:rsid w:val="3C3F134A"/>
    <w:rsid w:val="3C546141"/>
    <w:rsid w:val="3C57218D"/>
    <w:rsid w:val="3C5D4096"/>
    <w:rsid w:val="3C616ABB"/>
    <w:rsid w:val="3C6C490F"/>
    <w:rsid w:val="3C77121E"/>
    <w:rsid w:val="3C7D1624"/>
    <w:rsid w:val="3C805BCF"/>
    <w:rsid w:val="3C827F9E"/>
    <w:rsid w:val="3C8454C2"/>
    <w:rsid w:val="3C861992"/>
    <w:rsid w:val="3C8F5B6A"/>
    <w:rsid w:val="3C9035EC"/>
    <w:rsid w:val="3CAC12A8"/>
    <w:rsid w:val="3CAF59FA"/>
    <w:rsid w:val="3CB85DB3"/>
    <w:rsid w:val="3CC911C7"/>
    <w:rsid w:val="3CD64E85"/>
    <w:rsid w:val="3CD7395B"/>
    <w:rsid w:val="3CDD64AF"/>
    <w:rsid w:val="3CE861F9"/>
    <w:rsid w:val="3CF15267"/>
    <w:rsid w:val="3CF624DD"/>
    <w:rsid w:val="3D030443"/>
    <w:rsid w:val="3D034824"/>
    <w:rsid w:val="3D117C0A"/>
    <w:rsid w:val="3D122079"/>
    <w:rsid w:val="3D167C78"/>
    <w:rsid w:val="3D264775"/>
    <w:rsid w:val="3D3440FA"/>
    <w:rsid w:val="3D363C36"/>
    <w:rsid w:val="3D3A1978"/>
    <w:rsid w:val="3D3D7373"/>
    <w:rsid w:val="3D412496"/>
    <w:rsid w:val="3D4A594F"/>
    <w:rsid w:val="3D4B79F6"/>
    <w:rsid w:val="3D646E47"/>
    <w:rsid w:val="3D755B73"/>
    <w:rsid w:val="3D7B0CF1"/>
    <w:rsid w:val="3DB61CB9"/>
    <w:rsid w:val="3DBA7391"/>
    <w:rsid w:val="3DBC6463"/>
    <w:rsid w:val="3DC50704"/>
    <w:rsid w:val="3DCC71CF"/>
    <w:rsid w:val="3DD75419"/>
    <w:rsid w:val="3DD81385"/>
    <w:rsid w:val="3DDA304A"/>
    <w:rsid w:val="3DE550F2"/>
    <w:rsid w:val="3DED557D"/>
    <w:rsid w:val="3DFA2EB5"/>
    <w:rsid w:val="3E0A2E58"/>
    <w:rsid w:val="3E0E589C"/>
    <w:rsid w:val="3E1D56F1"/>
    <w:rsid w:val="3E214482"/>
    <w:rsid w:val="3E2326FD"/>
    <w:rsid w:val="3E237E24"/>
    <w:rsid w:val="3E3952C0"/>
    <w:rsid w:val="3E422FB2"/>
    <w:rsid w:val="3E46506B"/>
    <w:rsid w:val="3E4D0500"/>
    <w:rsid w:val="3E5720B6"/>
    <w:rsid w:val="3E67796F"/>
    <w:rsid w:val="3E740CDA"/>
    <w:rsid w:val="3E7411AF"/>
    <w:rsid w:val="3E7C1E93"/>
    <w:rsid w:val="3E7E3BB1"/>
    <w:rsid w:val="3E8C6F13"/>
    <w:rsid w:val="3E9142B7"/>
    <w:rsid w:val="3EA21DFC"/>
    <w:rsid w:val="3EB07A18"/>
    <w:rsid w:val="3EB72C41"/>
    <w:rsid w:val="3EBC0850"/>
    <w:rsid w:val="3EC62C0F"/>
    <w:rsid w:val="3ECC238E"/>
    <w:rsid w:val="3ECC2D32"/>
    <w:rsid w:val="3ED6747E"/>
    <w:rsid w:val="3EDE6689"/>
    <w:rsid w:val="3EE309C0"/>
    <w:rsid w:val="3EFC7E35"/>
    <w:rsid w:val="3F136EAA"/>
    <w:rsid w:val="3F1E7077"/>
    <w:rsid w:val="3F2A3E52"/>
    <w:rsid w:val="3F2B4CD2"/>
    <w:rsid w:val="3F2E3EB4"/>
    <w:rsid w:val="3F316DAB"/>
    <w:rsid w:val="3F382887"/>
    <w:rsid w:val="3F41640E"/>
    <w:rsid w:val="3F440421"/>
    <w:rsid w:val="3F4C7741"/>
    <w:rsid w:val="3F5A3A7F"/>
    <w:rsid w:val="3F5B0C52"/>
    <w:rsid w:val="3F5E56F6"/>
    <w:rsid w:val="3F5F15ED"/>
    <w:rsid w:val="3F6F1BD0"/>
    <w:rsid w:val="3F71138B"/>
    <w:rsid w:val="3F727F95"/>
    <w:rsid w:val="3F743FC9"/>
    <w:rsid w:val="3F767B2C"/>
    <w:rsid w:val="3F7A2278"/>
    <w:rsid w:val="3F7D57E2"/>
    <w:rsid w:val="3F830D40"/>
    <w:rsid w:val="3F934EDE"/>
    <w:rsid w:val="3F967D2D"/>
    <w:rsid w:val="3FA40657"/>
    <w:rsid w:val="3FA806EF"/>
    <w:rsid w:val="3FAA01A8"/>
    <w:rsid w:val="3FB47C57"/>
    <w:rsid w:val="3FC90AB1"/>
    <w:rsid w:val="3FC94921"/>
    <w:rsid w:val="3FE028EA"/>
    <w:rsid w:val="3FE07E89"/>
    <w:rsid w:val="3FE52D20"/>
    <w:rsid w:val="3FE55BE1"/>
    <w:rsid w:val="3FEB336E"/>
    <w:rsid w:val="3FF60EC8"/>
    <w:rsid w:val="3FFE63E8"/>
    <w:rsid w:val="4007565C"/>
    <w:rsid w:val="400B79D3"/>
    <w:rsid w:val="401008FA"/>
    <w:rsid w:val="40133658"/>
    <w:rsid w:val="40186F8C"/>
    <w:rsid w:val="401A339B"/>
    <w:rsid w:val="40237C35"/>
    <w:rsid w:val="40240F49"/>
    <w:rsid w:val="40273D0A"/>
    <w:rsid w:val="402E6007"/>
    <w:rsid w:val="402F7A76"/>
    <w:rsid w:val="403703F1"/>
    <w:rsid w:val="404B0E09"/>
    <w:rsid w:val="404D44B6"/>
    <w:rsid w:val="404F4EEB"/>
    <w:rsid w:val="40531596"/>
    <w:rsid w:val="40534AFF"/>
    <w:rsid w:val="40552C6B"/>
    <w:rsid w:val="405E15E5"/>
    <w:rsid w:val="40721096"/>
    <w:rsid w:val="407C02CF"/>
    <w:rsid w:val="407C39FC"/>
    <w:rsid w:val="4081341A"/>
    <w:rsid w:val="40836969"/>
    <w:rsid w:val="40843FF4"/>
    <w:rsid w:val="4088313F"/>
    <w:rsid w:val="40A64CAB"/>
    <w:rsid w:val="40AA67DA"/>
    <w:rsid w:val="40B007E6"/>
    <w:rsid w:val="40B0294B"/>
    <w:rsid w:val="40B90E06"/>
    <w:rsid w:val="40C15618"/>
    <w:rsid w:val="40E12601"/>
    <w:rsid w:val="4101455B"/>
    <w:rsid w:val="411029F0"/>
    <w:rsid w:val="41131DCD"/>
    <w:rsid w:val="411E5268"/>
    <w:rsid w:val="412225DA"/>
    <w:rsid w:val="41226D89"/>
    <w:rsid w:val="4125649B"/>
    <w:rsid w:val="41272213"/>
    <w:rsid w:val="412752F4"/>
    <w:rsid w:val="412C56DA"/>
    <w:rsid w:val="413C6193"/>
    <w:rsid w:val="41516138"/>
    <w:rsid w:val="41557FD3"/>
    <w:rsid w:val="415F544E"/>
    <w:rsid w:val="417465BA"/>
    <w:rsid w:val="417D3CFE"/>
    <w:rsid w:val="418004A3"/>
    <w:rsid w:val="41810E86"/>
    <w:rsid w:val="4182573C"/>
    <w:rsid w:val="41851257"/>
    <w:rsid w:val="41970A1B"/>
    <w:rsid w:val="419D4440"/>
    <w:rsid w:val="419F6AFE"/>
    <w:rsid w:val="41A12168"/>
    <w:rsid w:val="41A66434"/>
    <w:rsid w:val="41AA4BF2"/>
    <w:rsid w:val="41AA5EED"/>
    <w:rsid w:val="41AC55E8"/>
    <w:rsid w:val="41B42D30"/>
    <w:rsid w:val="41B82B7A"/>
    <w:rsid w:val="41C44DF2"/>
    <w:rsid w:val="41C7615C"/>
    <w:rsid w:val="41E45FD7"/>
    <w:rsid w:val="41EB3B89"/>
    <w:rsid w:val="41EC6603"/>
    <w:rsid w:val="41EF1F6E"/>
    <w:rsid w:val="41F15131"/>
    <w:rsid w:val="41F45E6E"/>
    <w:rsid w:val="420B38E3"/>
    <w:rsid w:val="420F77CB"/>
    <w:rsid w:val="42114C71"/>
    <w:rsid w:val="421B164C"/>
    <w:rsid w:val="421D41B2"/>
    <w:rsid w:val="421E0F5B"/>
    <w:rsid w:val="42222E88"/>
    <w:rsid w:val="42277971"/>
    <w:rsid w:val="42287C27"/>
    <w:rsid w:val="422E4822"/>
    <w:rsid w:val="423538E9"/>
    <w:rsid w:val="42353E45"/>
    <w:rsid w:val="423C22F2"/>
    <w:rsid w:val="42515CDB"/>
    <w:rsid w:val="4265447E"/>
    <w:rsid w:val="42677EDB"/>
    <w:rsid w:val="426A0E03"/>
    <w:rsid w:val="426B6130"/>
    <w:rsid w:val="42760499"/>
    <w:rsid w:val="42800DA9"/>
    <w:rsid w:val="428B338C"/>
    <w:rsid w:val="428D2235"/>
    <w:rsid w:val="428D7017"/>
    <w:rsid w:val="42975177"/>
    <w:rsid w:val="42A71357"/>
    <w:rsid w:val="42AD499A"/>
    <w:rsid w:val="42AE3C56"/>
    <w:rsid w:val="42DA01BE"/>
    <w:rsid w:val="4302227B"/>
    <w:rsid w:val="430F27B9"/>
    <w:rsid w:val="431F6DB3"/>
    <w:rsid w:val="433E448D"/>
    <w:rsid w:val="434846C3"/>
    <w:rsid w:val="435B43F6"/>
    <w:rsid w:val="435F0420"/>
    <w:rsid w:val="435F428C"/>
    <w:rsid w:val="436D237B"/>
    <w:rsid w:val="4374501C"/>
    <w:rsid w:val="43807FB6"/>
    <w:rsid w:val="438C543B"/>
    <w:rsid w:val="438D0E68"/>
    <w:rsid w:val="438F51B0"/>
    <w:rsid w:val="439361D8"/>
    <w:rsid w:val="43963680"/>
    <w:rsid w:val="439B27FA"/>
    <w:rsid w:val="439F53ED"/>
    <w:rsid w:val="43A4332B"/>
    <w:rsid w:val="43A97591"/>
    <w:rsid w:val="43B4209F"/>
    <w:rsid w:val="43C27FD1"/>
    <w:rsid w:val="43C42339"/>
    <w:rsid w:val="43CE48BB"/>
    <w:rsid w:val="43D8015A"/>
    <w:rsid w:val="43E828F9"/>
    <w:rsid w:val="43EB73A3"/>
    <w:rsid w:val="44095C00"/>
    <w:rsid w:val="44112D07"/>
    <w:rsid w:val="44136A7F"/>
    <w:rsid w:val="441C6C9E"/>
    <w:rsid w:val="44204D5C"/>
    <w:rsid w:val="4424353E"/>
    <w:rsid w:val="442E506A"/>
    <w:rsid w:val="44315157"/>
    <w:rsid w:val="443E17A2"/>
    <w:rsid w:val="446908C9"/>
    <w:rsid w:val="446F22E0"/>
    <w:rsid w:val="44854976"/>
    <w:rsid w:val="44913C16"/>
    <w:rsid w:val="44923C8C"/>
    <w:rsid w:val="449354C3"/>
    <w:rsid w:val="4498534D"/>
    <w:rsid w:val="44B17C1B"/>
    <w:rsid w:val="44B753CD"/>
    <w:rsid w:val="44B93A7F"/>
    <w:rsid w:val="44BE1658"/>
    <w:rsid w:val="44CE79C8"/>
    <w:rsid w:val="44DF70AD"/>
    <w:rsid w:val="44E53019"/>
    <w:rsid w:val="44EF1D67"/>
    <w:rsid w:val="44F33F47"/>
    <w:rsid w:val="44F85426"/>
    <w:rsid w:val="44FC58B9"/>
    <w:rsid w:val="44FD333B"/>
    <w:rsid w:val="450040B2"/>
    <w:rsid w:val="45060392"/>
    <w:rsid w:val="45063999"/>
    <w:rsid w:val="4508235C"/>
    <w:rsid w:val="450D34CE"/>
    <w:rsid w:val="450E785C"/>
    <w:rsid w:val="45106104"/>
    <w:rsid w:val="4526706D"/>
    <w:rsid w:val="45292FA8"/>
    <w:rsid w:val="452E0492"/>
    <w:rsid w:val="4530648A"/>
    <w:rsid w:val="453B1443"/>
    <w:rsid w:val="454E54AF"/>
    <w:rsid w:val="45523A99"/>
    <w:rsid w:val="45600568"/>
    <w:rsid w:val="45643B73"/>
    <w:rsid w:val="456674E7"/>
    <w:rsid w:val="45757B02"/>
    <w:rsid w:val="45965AB8"/>
    <w:rsid w:val="459C3244"/>
    <w:rsid w:val="459E681C"/>
    <w:rsid w:val="45A2554D"/>
    <w:rsid w:val="45A9402E"/>
    <w:rsid w:val="45B56B8D"/>
    <w:rsid w:val="45CB040A"/>
    <w:rsid w:val="45E85CE9"/>
    <w:rsid w:val="45F72659"/>
    <w:rsid w:val="460206CC"/>
    <w:rsid w:val="46024B8A"/>
    <w:rsid w:val="46065747"/>
    <w:rsid w:val="460A2104"/>
    <w:rsid w:val="460A7B9F"/>
    <w:rsid w:val="46121922"/>
    <w:rsid w:val="46154FA0"/>
    <w:rsid w:val="46164604"/>
    <w:rsid w:val="461F79EC"/>
    <w:rsid w:val="46256620"/>
    <w:rsid w:val="4628619C"/>
    <w:rsid w:val="463D012B"/>
    <w:rsid w:val="46477E5A"/>
    <w:rsid w:val="464B1D98"/>
    <w:rsid w:val="46523C6D"/>
    <w:rsid w:val="4652461A"/>
    <w:rsid w:val="4653020C"/>
    <w:rsid w:val="46596E7B"/>
    <w:rsid w:val="465A6073"/>
    <w:rsid w:val="465D4EDD"/>
    <w:rsid w:val="466502FF"/>
    <w:rsid w:val="4666376D"/>
    <w:rsid w:val="466864E9"/>
    <w:rsid w:val="46702633"/>
    <w:rsid w:val="4673185A"/>
    <w:rsid w:val="46757B22"/>
    <w:rsid w:val="4679226B"/>
    <w:rsid w:val="46841EB6"/>
    <w:rsid w:val="468D10C4"/>
    <w:rsid w:val="46970EDE"/>
    <w:rsid w:val="46A203CC"/>
    <w:rsid w:val="46B94C58"/>
    <w:rsid w:val="46BD5192"/>
    <w:rsid w:val="46BE5A34"/>
    <w:rsid w:val="46C23AC4"/>
    <w:rsid w:val="46C2653A"/>
    <w:rsid w:val="46C67F6F"/>
    <w:rsid w:val="46DC584E"/>
    <w:rsid w:val="46E50C5D"/>
    <w:rsid w:val="46EB0BC9"/>
    <w:rsid w:val="46FA2178"/>
    <w:rsid w:val="47121FD6"/>
    <w:rsid w:val="47134AE1"/>
    <w:rsid w:val="47143D2B"/>
    <w:rsid w:val="47161C62"/>
    <w:rsid w:val="471A6376"/>
    <w:rsid w:val="472055BF"/>
    <w:rsid w:val="4723347D"/>
    <w:rsid w:val="47262F6D"/>
    <w:rsid w:val="473A0A0E"/>
    <w:rsid w:val="474E4D62"/>
    <w:rsid w:val="47516135"/>
    <w:rsid w:val="475B5EBE"/>
    <w:rsid w:val="475C698F"/>
    <w:rsid w:val="476161C9"/>
    <w:rsid w:val="47624A72"/>
    <w:rsid w:val="476846BF"/>
    <w:rsid w:val="476D558D"/>
    <w:rsid w:val="47727699"/>
    <w:rsid w:val="477B5067"/>
    <w:rsid w:val="47825634"/>
    <w:rsid w:val="478852CD"/>
    <w:rsid w:val="47993F84"/>
    <w:rsid w:val="4799571B"/>
    <w:rsid w:val="47A577FC"/>
    <w:rsid w:val="47AB2FA4"/>
    <w:rsid w:val="47BA7D3C"/>
    <w:rsid w:val="47C167F2"/>
    <w:rsid w:val="47C45003"/>
    <w:rsid w:val="47CC34D9"/>
    <w:rsid w:val="47CE1987"/>
    <w:rsid w:val="47CF7161"/>
    <w:rsid w:val="47D34AB6"/>
    <w:rsid w:val="47D36C86"/>
    <w:rsid w:val="47DD2701"/>
    <w:rsid w:val="47E0326A"/>
    <w:rsid w:val="47E94C70"/>
    <w:rsid w:val="47F6431D"/>
    <w:rsid w:val="481E1E96"/>
    <w:rsid w:val="483A3ACB"/>
    <w:rsid w:val="48474F49"/>
    <w:rsid w:val="485812D4"/>
    <w:rsid w:val="485B6C46"/>
    <w:rsid w:val="4860600B"/>
    <w:rsid w:val="48684B15"/>
    <w:rsid w:val="486A50DB"/>
    <w:rsid w:val="487E1A6D"/>
    <w:rsid w:val="48807A2C"/>
    <w:rsid w:val="4883599F"/>
    <w:rsid w:val="488431EE"/>
    <w:rsid w:val="488A12DA"/>
    <w:rsid w:val="489007B4"/>
    <w:rsid w:val="48905B23"/>
    <w:rsid w:val="48A375F1"/>
    <w:rsid w:val="48C017E8"/>
    <w:rsid w:val="48C81310"/>
    <w:rsid w:val="48C86055"/>
    <w:rsid w:val="48DD6A2D"/>
    <w:rsid w:val="48DF59EC"/>
    <w:rsid w:val="48F1655E"/>
    <w:rsid w:val="490E48EC"/>
    <w:rsid w:val="49151BFC"/>
    <w:rsid w:val="491B087D"/>
    <w:rsid w:val="49275FAD"/>
    <w:rsid w:val="493952FF"/>
    <w:rsid w:val="4941408E"/>
    <w:rsid w:val="494E0E93"/>
    <w:rsid w:val="4953217C"/>
    <w:rsid w:val="49556494"/>
    <w:rsid w:val="496438D9"/>
    <w:rsid w:val="498437E2"/>
    <w:rsid w:val="49900B72"/>
    <w:rsid w:val="4990798C"/>
    <w:rsid w:val="4996417B"/>
    <w:rsid w:val="499801A4"/>
    <w:rsid w:val="49A126C8"/>
    <w:rsid w:val="49A93150"/>
    <w:rsid w:val="49AB7E55"/>
    <w:rsid w:val="49AC2C86"/>
    <w:rsid w:val="49B469E5"/>
    <w:rsid w:val="49B94ED3"/>
    <w:rsid w:val="49BA34D4"/>
    <w:rsid w:val="49BE748D"/>
    <w:rsid w:val="49BF6D61"/>
    <w:rsid w:val="49C3397F"/>
    <w:rsid w:val="49C7002C"/>
    <w:rsid w:val="49D822B4"/>
    <w:rsid w:val="49F27137"/>
    <w:rsid w:val="49FE4C94"/>
    <w:rsid w:val="4A0402B2"/>
    <w:rsid w:val="4A0C3D14"/>
    <w:rsid w:val="4A136438"/>
    <w:rsid w:val="4A157FA9"/>
    <w:rsid w:val="4A1D530D"/>
    <w:rsid w:val="4A236EB1"/>
    <w:rsid w:val="4A3634C7"/>
    <w:rsid w:val="4A372D9B"/>
    <w:rsid w:val="4A3953FB"/>
    <w:rsid w:val="4A514276"/>
    <w:rsid w:val="4A541B9F"/>
    <w:rsid w:val="4A5B016E"/>
    <w:rsid w:val="4A65413C"/>
    <w:rsid w:val="4A70229F"/>
    <w:rsid w:val="4A7031AB"/>
    <w:rsid w:val="4A722025"/>
    <w:rsid w:val="4A757163"/>
    <w:rsid w:val="4A773E1D"/>
    <w:rsid w:val="4A791A2B"/>
    <w:rsid w:val="4A7A40F5"/>
    <w:rsid w:val="4A9713EE"/>
    <w:rsid w:val="4A976F2E"/>
    <w:rsid w:val="4A9E0DD2"/>
    <w:rsid w:val="4A9F2243"/>
    <w:rsid w:val="4AA052D6"/>
    <w:rsid w:val="4ABF547E"/>
    <w:rsid w:val="4AC944E1"/>
    <w:rsid w:val="4ACD408F"/>
    <w:rsid w:val="4ACE0368"/>
    <w:rsid w:val="4ACF4DCB"/>
    <w:rsid w:val="4AD145F3"/>
    <w:rsid w:val="4ADD4C88"/>
    <w:rsid w:val="4AE529BB"/>
    <w:rsid w:val="4AE80A03"/>
    <w:rsid w:val="4AFB201B"/>
    <w:rsid w:val="4B0B6702"/>
    <w:rsid w:val="4B19462E"/>
    <w:rsid w:val="4B2214EF"/>
    <w:rsid w:val="4B264DCC"/>
    <w:rsid w:val="4B270CDD"/>
    <w:rsid w:val="4B2A4B71"/>
    <w:rsid w:val="4B2E18A2"/>
    <w:rsid w:val="4B2E23F0"/>
    <w:rsid w:val="4B386DCB"/>
    <w:rsid w:val="4B401746"/>
    <w:rsid w:val="4B496C93"/>
    <w:rsid w:val="4B4E5319"/>
    <w:rsid w:val="4B536D92"/>
    <w:rsid w:val="4B585B35"/>
    <w:rsid w:val="4B614574"/>
    <w:rsid w:val="4B6D2F19"/>
    <w:rsid w:val="4B6E3BB8"/>
    <w:rsid w:val="4B736055"/>
    <w:rsid w:val="4B7D6061"/>
    <w:rsid w:val="4B7F5E01"/>
    <w:rsid w:val="4B851502"/>
    <w:rsid w:val="4B875B74"/>
    <w:rsid w:val="4B8B261A"/>
    <w:rsid w:val="4B8E6103"/>
    <w:rsid w:val="4B906C07"/>
    <w:rsid w:val="4B9C0724"/>
    <w:rsid w:val="4B9D2E9A"/>
    <w:rsid w:val="4B9F1C20"/>
    <w:rsid w:val="4BA273D2"/>
    <w:rsid w:val="4BAF17EC"/>
    <w:rsid w:val="4BB275BC"/>
    <w:rsid w:val="4BB402BC"/>
    <w:rsid w:val="4BB505E0"/>
    <w:rsid w:val="4BC864A3"/>
    <w:rsid w:val="4BCF6BB7"/>
    <w:rsid w:val="4BD67CA0"/>
    <w:rsid w:val="4BD978E2"/>
    <w:rsid w:val="4BEA116A"/>
    <w:rsid w:val="4BEA438B"/>
    <w:rsid w:val="4BEB55AC"/>
    <w:rsid w:val="4BF47196"/>
    <w:rsid w:val="4BF57A3D"/>
    <w:rsid w:val="4C0079F5"/>
    <w:rsid w:val="4C0A69B9"/>
    <w:rsid w:val="4C0F4BC6"/>
    <w:rsid w:val="4C183069"/>
    <w:rsid w:val="4C1830D1"/>
    <w:rsid w:val="4C220B74"/>
    <w:rsid w:val="4C2757BD"/>
    <w:rsid w:val="4C2B46F8"/>
    <w:rsid w:val="4C343A36"/>
    <w:rsid w:val="4C3E2B07"/>
    <w:rsid w:val="4C4658B1"/>
    <w:rsid w:val="4C4E2CBD"/>
    <w:rsid w:val="4C58633B"/>
    <w:rsid w:val="4C6E3E4A"/>
    <w:rsid w:val="4C7125C4"/>
    <w:rsid w:val="4C7B7616"/>
    <w:rsid w:val="4C87000A"/>
    <w:rsid w:val="4C902464"/>
    <w:rsid w:val="4CB1602D"/>
    <w:rsid w:val="4CC060B0"/>
    <w:rsid w:val="4CC17E62"/>
    <w:rsid w:val="4CE27CEC"/>
    <w:rsid w:val="4CE643B9"/>
    <w:rsid w:val="4CE72CB8"/>
    <w:rsid w:val="4CE9093D"/>
    <w:rsid w:val="4CF73B22"/>
    <w:rsid w:val="4D1473C4"/>
    <w:rsid w:val="4D171FA4"/>
    <w:rsid w:val="4D186EB4"/>
    <w:rsid w:val="4D304D4D"/>
    <w:rsid w:val="4D314E3F"/>
    <w:rsid w:val="4D3161C8"/>
    <w:rsid w:val="4D401C5C"/>
    <w:rsid w:val="4D435026"/>
    <w:rsid w:val="4D440195"/>
    <w:rsid w:val="4D517D09"/>
    <w:rsid w:val="4D5350AB"/>
    <w:rsid w:val="4D6E2676"/>
    <w:rsid w:val="4D70258F"/>
    <w:rsid w:val="4D7A022C"/>
    <w:rsid w:val="4D8F679A"/>
    <w:rsid w:val="4D973F59"/>
    <w:rsid w:val="4D9869FE"/>
    <w:rsid w:val="4DA1068B"/>
    <w:rsid w:val="4DA21E72"/>
    <w:rsid w:val="4DA6022A"/>
    <w:rsid w:val="4DAE7818"/>
    <w:rsid w:val="4DB03590"/>
    <w:rsid w:val="4DB874CD"/>
    <w:rsid w:val="4DC047F4"/>
    <w:rsid w:val="4DC26423"/>
    <w:rsid w:val="4DCF61BF"/>
    <w:rsid w:val="4DD06E74"/>
    <w:rsid w:val="4DD37EFB"/>
    <w:rsid w:val="4DE73E12"/>
    <w:rsid w:val="4DFC2D3C"/>
    <w:rsid w:val="4E0256F8"/>
    <w:rsid w:val="4E051EC1"/>
    <w:rsid w:val="4E0745FD"/>
    <w:rsid w:val="4E077584"/>
    <w:rsid w:val="4E33765E"/>
    <w:rsid w:val="4E3A3985"/>
    <w:rsid w:val="4E3D70E2"/>
    <w:rsid w:val="4E3E0B9C"/>
    <w:rsid w:val="4E572490"/>
    <w:rsid w:val="4E5E5BAA"/>
    <w:rsid w:val="4E6474A1"/>
    <w:rsid w:val="4E647937"/>
    <w:rsid w:val="4E673085"/>
    <w:rsid w:val="4E6A7BE3"/>
    <w:rsid w:val="4E6C37EF"/>
    <w:rsid w:val="4E6C5236"/>
    <w:rsid w:val="4E7445BE"/>
    <w:rsid w:val="4E766286"/>
    <w:rsid w:val="4E785B25"/>
    <w:rsid w:val="4E7A2055"/>
    <w:rsid w:val="4E7A5359"/>
    <w:rsid w:val="4E7D5C4E"/>
    <w:rsid w:val="4E801CD9"/>
    <w:rsid w:val="4E86609F"/>
    <w:rsid w:val="4E9C11C2"/>
    <w:rsid w:val="4E9E6D0A"/>
    <w:rsid w:val="4EA40C13"/>
    <w:rsid w:val="4EAC1FAA"/>
    <w:rsid w:val="4EC608C3"/>
    <w:rsid w:val="4EC66BCA"/>
    <w:rsid w:val="4ED54C66"/>
    <w:rsid w:val="4ED55106"/>
    <w:rsid w:val="4EE17877"/>
    <w:rsid w:val="4EED488B"/>
    <w:rsid w:val="4EEE7780"/>
    <w:rsid w:val="4EF43951"/>
    <w:rsid w:val="4EFD2091"/>
    <w:rsid w:val="4F073E33"/>
    <w:rsid w:val="4F0B3174"/>
    <w:rsid w:val="4F0E2841"/>
    <w:rsid w:val="4F1118E2"/>
    <w:rsid w:val="4F135E1F"/>
    <w:rsid w:val="4F1B538B"/>
    <w:rsid w:val="4F205FDF"/>
    <w:rsid w:val="4F271630"/>
    <w:rsid w:val="4F2E0780"/>
    <w:rsid w:val="4F3661DE"/>
    <w:rsid w:val="4F391349"/>
    <w:rsid w:val="4F3C4E4D"/>
    <w:rsid w:val="4F482864"/>
    <w:rsid w:val="4F60164A"/>
    <w:rsid w:val="4F6C3803"/>
    <w:rsid w:val="4F710AFD"/>
    <w:rsid w:val="4F766114"/>
    <w:rsid w:val="4F770445"/>
    <w:rsid w:val="4F7B0C77"/>
    <w:rsid w:val="4F7B5048"/>
    <w:rsid w:val="4F7F76BE"/>
    <w:rsid w:val="4F800972"/>
    <w:rsid w:val="4F876C88"/>
    <w:rsid w:val="4F8A5A0E"/>
    <w:rsid w:val="4F943D9F"/>
    <w:rsid w:val="4F950C90"/>
    <w:rsid w:val="4FAB09D2"/>
    <w:rsid w:val="4FB47241"/>
    <w:rsid w:val="4FBF3F5F"/>
    <w:rsid w:val="4FC67EEA"/>
    <w:rsid w:val="4FCE3809"/>
    <w:rsid w:val="4FD07F1A"/>
    <w:rsid w:val="4FD97A0C"/>
    <w:rsid w:val="4FFB0232"/>
    <w:rsid w:val="50005394"/>
    <w:rsid w:val="50023309"/>
    <w:rsid w:val="500707B0"/>
    <w:rsid w:val="500F19A4"/>
    <w:rsid w:val="50233F34"/>
    <w:rsid w:val="5026548C"/>
    <w:rsid w:val="5027330E"/>
    <w:rsid w:val="50372E33"/>
    <w:rsid w:val="504941F4"/>
    <w:rsid w:val="504A1A7A"/>
    <w:rsid w:val="504D0C53"/>
    <w:rsid w:val="504D3319"/>
    <w:rsid w:val="50506965"/>
    <w:rsid w:val="50581B49"/>
    <w:rsid w:val="50822F0C"/>
    <w:rsid w:val="508A5EB8"/>
    <w:rsid w:val="508B3E41"/>
    <w:rsid w:val="508F6505"/>
    <w:rsid w:val="50901457"/>
    <w:rsid w:val="509251CF"/>
    <w:rsid w:val="50B26C3F"/>
    <w:rsid w:val="50C64E79"/>
    <w:rsid w:val="50D47596"/>
    <w:rsid w:val="50D94808"/>
    <w:rsid w:val="50E96D54"/>
    <w:rsid w:val="50F03755"/>
    <w:rsid w:val="50F11EF6"/>
    <w:rsid w:val="510F2479"/>
    <w:rsid w:val="5111366B"/>
    <w:rsid w:val="511205BD"/>
    <w:rsid w:val="51173778"/>
    <w:rsid w:val="51177F4D"/>
    <w:rsid w:val="51251F19"/>
    <w:rsid w:val="51353716"/>
    <w:rsid w:val="51362835"/>
    <w:rsid w:val="513C1384"/>
    <w:rsid w:val="513F3DDB"/>
    <w:rsid w:val="514A150C"/>
    <w:rsid w:val="515D02C8"/>
    <w:rsid w:val="51642E66"/>
    <w:rsid w:val="517128C3"/>
    <w:rsid w:val="51742FB0"/>
    <w:rsid w:val="51800C86"/>
    <w:rsid w:val="51861A28"/>
    <w:rsid w:val="518A0D40"/>
    <w:rsid w:val="519370C4"/>
    <w:rsid w:val="5198223C"/>
    <w:rsid w:val="519A258E"/>
    <w:rsid w:val="51B20896"/>
    <w:rsid w:val="51C31929"/>
    <w:rsid w:val="51D71DD6"/>
    <w:rsid w:val="51F17F8C"/>
    <w:rsid w:val="51F77D06"/>
    <w:rsid w:val="52067F3C"/>
    <w:rsid w:val="520B348B"/>
    <w:rsid w:val="52125204"/>
    <w:rsid w:val="521572B6"/>
    <w:rsid w:val="521D5006"/>
    <w:rsid w:val="521F0CE5"/>
    <w:rsid w:val="52201F3C"/>
    <w:rsid w:val="522C3BB3"/>
    <w:rsid w:val="523A289F"/>
    <w:rsid w:val="52431386"/>
    <w:rsid w:val="524424F9"/>
    <w:rsid w:val="5249248A"/>
    <w:rsid w:val="5250031E"/>
    <w:rsid w:val="52522E68"/>
    <w:rsid w:val="5253273C"/>
    <w:rsid w:val="52553923"/>
    <w:rsid w:val="525C5A95"/>
    <w:rsid w:val="526057DC"/>
    <w:rsid w:val="52686D40"/>
    <w:rsid w:val="52710537"/>
    <w:rsid w:val="52721D06"/>
    <w:rsid w:val="52766056"/>
    <w:rsid w:val="527E1EAF"/>
    <w:rsid w:val="5285086E"/>
    <w:rsid w:val="529214B7"/>
    <w:rsid w:val="529D520B"/>
    <w:rsid w:val="52A87B2A"/>
    <w:rsid w:val="52AD6B4F"/>
    <w:rsid w:val="52B513BE"/>
    <w:rsid w:val="52BA0DD1"/>
    <w:rsid w:val="52CB1154"/>
    <w:rsid w:val="52CD2A48"/>
    <w:rsid w:val="52DD6CFF"/>
    <w:rsid w:val="52DE294E"/>
    <w:rsid w:val="52E406AA"/>
    <w:rsid w:val="52F757BE"/>
    <w:rsid w:val="530323B4"/>
    <w:rsid w:val="53034162"/>
    <w:rsid w:val="530C3038"/>
    <w:rsid w:val="530D52D0"/>
    <w:rsid w:val="53181F2E"/>
    <w:rsid w:val="534A2DF5"/>
    <w:rsid w:val="534C78B7"/>
    <w:rsid w:val="534F55FA"/>
    <w:rsid w:val="536C32E1"/>
    <w:rsid w:val="538A5F1E"/>
    <w:rsid w:val="538C2CFB"/>
    <w:rsid w:val="53AF77F1"/>
    <w:rsid w:val="53B92A73"/>
    <w:rsid w:val="53BD0491"/>
    <w:rsid w:val="53CA0F06"/>
    <w:rsid w:val="53DB6174"/>
    <w:rsid w:val="53DB6C22"/>
    <w:rsid w:val="53DF5628"/>
    <w:rsid w:val="53EF733E"/>
    <w:rsid w:val="540B6285"/>
    <w:rsid w:val="540F2FE1"/>
    <w:rsid w:val="541618FF"/>
    <w:rsid w:val="54183C3E"/>
    <w:rsid w:val="542C5727"/>
    <w:rsid w:val="542D593B"/>
    <w:rsid w:val="542E167C"/>
    <w:rsid w:val="543C75C3"/>
    <w:rsid w:val="544D3E0A"/>
    <w:rsid w:val="544F115F"/>
    <w:rsid w:val="5452714F"/>
    <w:rsid w:val="545311AD"/>
    <w:rsid w:val="546136EE"/>
    <w:rsid w:val="54684EEF"/>
    <w:rsid w:val="549E4AC8"/>
    <w:rsid w:val="54A84FC1"/>
    <w:rsid w:val="54B63CBB"/>
    <w:rsid w:val="54C0055D"/>
    <w:rsid w:val="54C8081B"/>
    <w:rsid w:val="54D11A35"/>
    <w:rsid w:val="54D51B2F"/>
    <w:rsid w:val="54D74E67"/>
    <w:rsid w:val="54E106CE"/>
    <w:rsid w:val="54E3249D"/>
    <w:rsid w:val="54F621D1"/>
    <w:rsid w:val="55045ECE"/>
    <w:rsid w:val="550C4D95"/>
    <w:rsid w:val="5526678C"/>
    <w:rsid w:val="552D1742"/>
    <w:rsid w:val="55360A54"/>
    <w:rsid w:val="553761FE"/>
    <w:rsid w:val="55384960"/>
    <w:rsid w:val="554561F4"/>
    <w:rsid w:val="554A53C7"/>
    <w:rsid w:val="55525286"/>
    <w:rsid w:val="555A1BF4"/>
    <w:rsid w:val="555E7D76"/>
    <w:rsid w:val="556378FB"/>
    <w:rsid w:val="557547C5"/>
    <w:rsid w:val="557E675B"/>
    <w:rsid w:val="5590756D"/>
    <w:rsid w:val="55933792"/>
    <w:rsid w:val="55A4620D"/>
    <w:rsid w:val="55AE23A0"/>
    <w:rsid w:val="55B856D8"/>
    <w:rsid w:val="55BA26B0"/>
    <w:rsid w:val="55C473A9"/>
    <w:rsid w:val="55C716E5"/>
    <w:rsid w:val="55CD2ACF"/>
    <w:rsid w:val="55CD79BC"/>
    <w:rsid w:val="55D00226"/>
    <w:rsid w:val="55DF63F2"/>
    <w:rsid w:val="55E5005A"/>
    <w:rsid w:val="560678E7"/>
    <w:rsid w:val="561B4F52"/>
    <w:rsid w:val="561C6CEB"/>
    <w:rsid w:val="56237DE0"/>
    <w:rsid w:val="562C53B7"/>
    <w:rsid w:val="5631518A"/>
    <w:rsid w:val="56350AD7"/>
    <w:rsid w:val="56352885"/>
    <w:rsid w:val="5636091F"/>
    <w:rsid w:val="563665FD"/>
    <w:rsid w:val="563A60ED"/>
    <w:rsid w:val="5641747C"/>
    <w:rsid w:val="564301F1"/>
    <w:rsid w:val="565C42B5"/>
    <w:rsid w:val="565D6CC1"/>
    <w:rsid w:val="56755377"/>
    <w:rsid w:val="567D77DA"/>
    <w:rsid w:val="56836023"/>
    <w:rsid w:val="56870C86"/>
    <w:rsid w:val="569472A6"/>
    <w:rsid w:val="56A41633"/>
    <w:rsid w:val="56C34335"/>
    <w:rsid w:val="56DC5010"/>
    <w:rsid w:val="56E12A0D"/>
    <w:rsid w:val="56EE4F2B"/>
    <w:rsid w:val="56EF58FA"/>
    <w:rsid w:val="56F96B3F"/>
    <w:rsid w:val="57030BD5"/>
    <w:rsid w:val="57035977"/>
    <w:rsid w:val="57070C43"/>
    <w:rsid w:val="570B31ED"/>
    <w:rsid w:val="570B5E9B"/>
    <w:rsid w:val="571141E6"/>
    <w:rsid w:val="571C57F3"/>
    <w:rsid w:val="57235785"/>
    <w:rsid w:val="5764542B"/>
    <w:rsid w:val="576551C6"/>
    <w:rsid w:val="57707CA9"/>
    <w:rsid w:val="577A5B49"/>
    <w:rsid w:val="578810DA"/>
    <w:rsid w:val="578C5EC4"/>
    <w:rsid w:val="579831C5"/>
    <w:rsid w:val="57A34279"/>
    <w:rsid w:val="57A57911"/>
    <w:rsid w:val="57B61E94"/>
    <w:rsid w:val="57C54F8E"/>
    <w:rsid w:val="57D1482F"/>
    <w:rsid w:val="57D72CAA"/>
    <w:rsid w:val="57DD1426"/>
    <w:rsid w:val="57DF7A3E"/>
    <w:rsid w:val="57F170D7"/>
    <w:rsid w:val="57F8000E"/>
    <w:rsid w:val="58042049"/>
    <w:rsid w:val="581262C2"/>
    <w:rsid w:val="581508C9"/>
    <w:rsid w:val="58150BC0"/>
    <w:rsid w:val="5815278F"/>
    <w:rsid w:val="582901C7"/>
    <w:rsid w:val="583064E6"/>
    <w:rsid w:val="583F5C3D"/>
    <w:rsid w:val="584C27E1"/>
    <w:rsid w:val="585267E8"/>
    <w:rsid w:val="58554B66"/>
    <w:rsid w:val="585655CE"/>
    <w:rsid w:val="585722FF"/>
    <w:rsid w:val="585E7C8F"/>
    <w:rsid w:val="58611E71"/>
    <w:rsid w:val="58615BB3"/>
    <w:rsid w:val="58641614"/>
    <w:rsid w:val="58676F42"/>
    <w:rsid w:val="587A428A"/>
    <w:rsid w:val="58882214"/>
    <w:rsid w:val="588D5330"/>
    <w:rsid w:val="589961A0"/>
    <w:rsid w:val="589D6DA1"/>
    <w:rsid w:val="58A11868"/>
    <w:rsid w:val="58A37CE3"/>
    <w:rsid w:val="58A40196"/>
    <w:rsid w:val="58A4273A"/>
    <w:rsid w:val="58A511BE"/>
    <w:rsid w:val="58A576D9"/>
    <w:rsid w:val="58BC43D1"/>
    <w:rsid w:val="58C3742F"/>
    <w:rsid w:val="58C64D20"/>
    <w:rsid w:val="58D4254D"/>
    <w:rsid w:val="58D72319"/>
    <w:rsid w:val="58D8126E"/>
    <w:rsid w:val="58DE5A5B"/>
    <w:rsid w:val="58E77B67"/>
    <w:rsid w:val="590461B0"/>
    <w:rsid w:val="590858EA"/>
    <w:rsid w:val="590A0FE6"/>
    <w:rsid w:val="591863D5"/>
    <w:rsid w:val="59212A72"/>
    <w:rsid w:val="59254E33"/>
    <w:rsid w:val="592B6C16"/>
    <w:rsid w:val="595349E6"/>
    <w:rsid w:val="595B363D"/>
    <w:rsid w:val="59677541"/>
    <w:rsid w:val="59680FF4"/>
    <w:rsid w:val="596939B8"/>
    <w:rsid w:val="59720DF3"/>
    <w:rsid w:val="597A58D9"/>
    <w:rsid w:val="597D6D22"/>
    <w:rsid w:val="59A26A9D"/>
    <w:rsid w:val="59A857F1"/>
    <w:rsid w:val="59AD15AB"/>
    <w:rsid w:val="59AD6F2B"/>
    <w:rsid w:val="59B02CDF"/>
    <w:rsid w:val="59CE54CA"/>
    <w:rsid w:val="59CF6046"/>
    <w:rsid w:val="5A026442"/>
    <w:rsid w:val="5A0930D6"/>
    <w:rsid w:val="5A0D02E3"/>
    <w:rsid w:val="5A0F5DCC"/>
    <w:rsid w:val="5A1A79E1"/>
    <w:rsid w:val="5A1D3BA6"/>
    <w:rsid w:val="5A2E1C4B"/>
    <w:rsid w:val="5A3475C4"/>
    <w:rsid w:val="5A3A3276"/>
    <w:rsid w:val="5A4C5099"/>
    <w:rsid w:val="5A5822F5"/>
    <w:rsid w:val="5A5F5EA9"/>
    <w:rsid w:val="5A6676DA"/>
    <w:rsid w:val="5A71728A"/>
    <w:rsid w:val="5A910924"/>
    <w:rsid w:val="5A923AFE"/>
    <w:rsid w:val="5A9304C2"/>
    <w:rsid w:val="5A992F62"/>
    <w:rsid w:val="5AA553C6"/>
    <w:rsid w:val="5AC06CC4"/>
    <w:rsid w:val="5AC24903"/>
    <w:rsid w:val="5ACE32A8"/>
    <w:rsid w:val="5ACF3834"/>
    <w:rsid w:val="5AD85ED5"/>
    <w:rsid w:val="5AE1122D"/>
    <w:rsid w:val="5AE13776"/>
    <w:rsid w:val="5AEE407F"/>
    <w:rsid w:val="5AF041C1"/>
    <w:rsid w:val="5AF77C8A"/>
    <w:rsid w:val="5AF8009E"/>
    <w:rsid w:val="5B073DE6"/>
    <w:rsid w:val="5B084B8E"/>
    <w:rsid w:val="5B0972E9"/>
    <w:rsid w:val="5B1D06A0"/>
    <w:rsid w:val="5B1F58B2"/>
    <w:rsid w:val="5B213377"/>
    <w:rsid w:val="5B286E5C"/>
    <w:rsid w:val="5B304CAB"/>
    <w:rsid w:val="5B3F149A"/>
    <w:rsid w:val="5B4041A6"/>
    <w:rsid w:val="5B420748"/>
    <w:rsid w:val="5B461861"/>
    <w:rsid w:val="5B4C6504"/>
    <w:rsid w:val="5B4E41E4"/>
    <w:rsid w:val="5B561967"/>
    <w:rsid w:val="5B57504B"/>
    <w:rsid w:val="5B592DDD"/>
    <w:rsid w:val="5B6670CE"/>
    <w:rsid w:val="5B6F0312"/>
    <w:rsid w:val="5B742BB4"/>
    <w:rsid w:val="5B8142EE"/>
    <w:rsid w:val="5B8323B8"/>
    <w:rsid w:val="5B8B4B8A"/>
    <w:rsid w:val="5B8E07CB"/>
    <w:rsid w:val="5B975D90"/>
    <w:rsid w:val="5B976C6F"/>
    <w:rsid w:val="5B9A5F31"/>
    <w:rsid w:val="5B9C6E4B"/>
    <w:rsid w:val="5B9C715C"/>
    <w:rsid w:val="5B9F54DA"/>
    <w:rsid w:val="5B9F77DD"/>
    <w:rsid w:val="5BA028E8"/>
    <w:rsid w:val="5BB12F7A"/>
    <w:rsid w:val="5BB14296"/>
    <w:rsid w:val="5BB55204"/>
    <w:rsid w:val="5BB560BF"/>
    <w:rsid w:val="5BB8539E"/>
    <w:rsid w:val="5BBF1F0E"/>
    <w:rsid w:val="5BBF5B13"/>
    <w:rsid w:val="5BE25646"/>
    <w:rsid w:val="5BE80ED6"/>
    <w:rsid w:val="5BF22485"/>
    <w:rsid w:val="5BFA129E"/>
    <w:rsid w:val="5C090A3C"/>
    <w:rsid w:val="5C0B144B"/>
    <w:rsid w:val="5C173CB8"/>
    <w:rsid w:val="5C1A662F"/>
    <w:rsid w:val="5C1B4751"/>
    <w:rsid w:val="5C1D50A2"/>
    <w:rsid w:val="5C242E21"/>
    <w:rsid w:val="5C281051"/>
    <w:rsid w:val="5C292E8C"/>
    <w:rsid w:val="5C32760B"/>
    <w:rsid w:val="5C341831"/>
    <w:rsid w:val="5C3B2BBF"/>
    <w:rsid w:val="5C480E38"/>
    <w:rsid w:val="5C4917B6"/>
    <w:rsid w:val="5C5A3793"/>
    <w:rsid w:val="5C6A6946"/>
    <w:rsid w:val="5C6C32A9"/>
    <w:rsid w:val="5C782A3A"/>
    <w:rsid w:val="5C8210D4"/>
    <w:rsid w:val="5C891114"/>
    <w:rsid w:val="5C937D77"/>
    <w:rsid w:val="5CA02E52"/>
    <w:rsid w:val="5CA15796"/>
    <w:rsid w:val="5CA31609"/>
    <w:rsid w:val="5CB15FF7"/>
    <w:rsid w:val="5CBD748C"/>
    <w:rsid w:val="5CBE34B8"/>
    <w:rsid w:val="5CC21EA4"/>
    <w:rsid w:val="5CC6692D"/>
    <w:rsid w:val="5CD146D7"/>
    <w:rsid w:val="5CD57F13"/>
    <w:rsid w:val="5CDB3A5A"/>
    <w:rsid w:val="5CDC5970"/>
    <w:rsid w:val="5CE7687A"/>
    <w:rsid w:val="5CE97AD0"/>
    <w:rsid w:val="5CF1436E"/>
    <w:rsid w:val="5CFB6F4F"/>
    <w:rsid w:val="5D0A1E55"/>
    <w:rsid w:val="5D1458EA"/>
    <w:rsid w:val="5D1643FF"/>
    <w:rsid w:val="5D1A034E"/>
    <w:rsid w:val="5D2B606A"/>
    <w:rsid w:val="5D2D390B"/>
    <w:rsid w:val="5D2E11ED"/>
    <w:rsid w:val="5D2F352B"/>
    <w:rsid w:val="5D320BE3"/>
    <w:rsid w:val="5D363379"/>
    <w:rsid w:val="5D495005"/>
    <w:rsid w:val="5D4F4B81"/>
    <w:rsid w:val="5D5263E6"/>
    <w:rsid w:val="5D5C72A8"/>
    <w:rsid w:val="5D6874DA"/>
    <w:rsid w:val="5D6E585A"/>
    <w:rsid w:val="5D7677C3"/>
    <w:rsid w:val="5D7A330F"/>
    <w:rsid w:val="5D852344"/>
    <w:rsid w:val="5D8F10C7"/>
    <w:rsid w:val="5D916C44"/>
    <w:rsid w:val="5D951E96"/>
    <w:rsid w:val="5D9D3537"/>
    <w:rsid w:val="5DAF0841"/>
    <w:rsid w:val="5DB0035D"/>
    <w:rsid w:val="5DB028CA"/>
    <w:rsid w:val="5DB144B2"/>
    <w:rsid w:val="5DB77D99"/>
    <w:rsid w:val="5DC50D66"/>
    <w:rsid w:val="5DD558C0"/>
    <w:rsid w:val="5DDD3D2D"/>
    <w:rsid w:val="5DF31E2A"/>
    <w:rsid w:val="5DFA2263"/>
    <w:rsid w:val="5E084CB5"/>
    <w:rsid w:val="5E0C5358"/>
    <w:rsid w:val="5E1128DA"/>
    <w:rsid w:val="5E2733FB"/>
    <w:rsid w:val="5E2E6B91"/>
    <w:rsid w:val="5E327586"/>
    <w:rsid w:val="5E3E02E6"/>
    <w:rsid w:val="5E413D91"/>
    <w:rsid w:val="5E45203A"/>
    <w:rsid w:val="5E4C1D02"/>
    <w:rsid w:val="5E5C0267"/>
    <w:rsid w:val="5E5E1B33"/>
    <w:rsid w:val="5E610C5B"/>
    <w:rsid w:val="5E7303EE"/>
    <w:rsid w:val="5E7C2C0A"/>
    <w:rsid w:val="5E7C4712"/>
    <w:rsid w:val="5E875A49"/>
    <w:rsid w:val="5E88447C"/>
    <w:rsid w:val="5E8A14A9"/>
    <w:rsid w:val="5E8B1BDC"/>
    <w:rsid w:val="5E8D1442"/>
    <w:rsid w:val="5E977DB7"/>
    <w:rsid w:val="5E9E1280"/>
    <w:rsid w:val="5EB24909"/>
    <w:rsid w:val="5EBD0966"/>
    <w:rsid w:val="5ECF190C"/>
    <w:rsid w:val="5ED0680E"/>
    <w:rsid w:val="5ED25161"/>
    <w:rsid w:val="5EDE0F33"/>
    <w:rsid w:val="5EF56E02"/>
    <w:rsid w:val="5EFE034D"/>
    <w:rsid w:val="5EFF5DC8"/>
    <w:rsid w:val="5F02516D"/>
    <w:rsid w:val="5F087831"/>
    <w:rsid w:val="5F1202B5"/>
    <w:rsid w:val="5F24793A"/>
    <w:rsid w:val="5F2A4689"/>
    <w:rsid w:val="5F2D1D08"/>
    <w:rsid w:val="5F382A77"/>
    <w:rsid w:val="5F3A7FC8"/>
    <w:rsid w:val="5F3B6A32"/>
    <w:rsid w:val="5F3C0A4D"/>
    <w:rsid w:val="5F5875E4"/>
    <w:rsid w:val="5F5D7619"/>
    <w:rsid w:val="5F6C77CB"/>
    <w:rsid w:val="5F7601AD"/>
    <w:rsid w:val="5F797C86"/>
    <w:rsid w:val="5F9E5AEE"/>
    <w:rsid w:val="5FA16A73"/>
    <w:rsid w:val="5FA835AF"/>
    <w:rsid w:val="5FA90E54"/>
    <w:rsid w:val="5FB9411A"/>
    <w:rsid w:val="5FBA3DFB"/>
    <w:rsid w:val="5FCA04E2"/>
    <w:rsid w:val="5FD90725"/>
    <w:rsid w:val="5FD92921"/>
    <w:rsid w:val="5FE417AD"/>
    <w:rsid w:val="5FEA2AFB"/>
    <w:rsid w:val="5FEC48FC"/>
    <w:rsid w:val="600D3BA4"/>
    <w:rsid w:val="60150A21"/>
    <w:rsid w:val="601D6342"/>
    <w:rsid w:val="60242937"/>
    <w:rsid w:val="60291DBC"/>
    <w:rsid w:val="602A1B71"/>
    <w:rsid w:val="602D7DC9"/>
    <w:rsid w:val="6045177F"/>
    <w:rsid w:val="60455DBA"/>
    <w:rsid w:val="60471B32"/>
    <w:rsid w:val="604D125B"/>
    <w:rsid w:val="60584FF8"/>
    <w:rsid w:val="60605BAC"/>
    <w:rsid w:val="60611221"/>
    <w:rsid w:val="606E519E"/>
    <w:rsid w:val="60705E47"/>
    <w:rsid w:val="607E65B7"/>
    <w:rsid w:val="60826150"/>
    <w:rsid w:val="608A67DE"/>
    <w:rsid w:val="608C1EF4"/>
    <w:rsid w:val="60A3539C"/>
    <w:rsid w:val="60A800F7"/>
    <w:rsid w:val="60B70C5F"/>
    <w:rsid w:val="60BA61B4"/>
    <w:rsid w:val="60BF7F5D"/>
    <w:rsid w:val="60C069A9"/>
    <w:rsid w:val="60C15E27"/>
    <w:rsid w:val="60C345CC"/>
    <w:rsid w:val="60E620E1"/>
    <w:rsid w:val="60EC741B"/>
    <w:rsid w:val="60F65306"/>
    <w:rsid w:val="60FC3340"/>
    <w:rsid w:val="610411A3"/>
    <w:rsid w:val="61063DBC"/>
    <w:rsid w:val="610712C2"/>
    <w:rsid w:val="61164056"/>
    <w:rsid w:val="612F3FAF"/>
    <w:rsid w:val="6136678D"/>
    <w:rsid w:val="614C5CDF"/>
    <w:rsid w:val="615464A6"/>
    <w:rsid w:val="61573FF7"/>
    <w:rsid w:val="61581B1D"/>
    <w:rsid w:val="6158501E"/>
    <w:rsid w:val="617C507F"/>
    <w:rsid w:val="618F7657"/>
    <w:rsid w:val="61937516"/>
    <w:rsid w:val="6195133F"/>
    <w:rsid w:val="619B57D7"/>
    <w:rsid w:val="619C45C7"/>
    <w:rsid w:val="61A83278"/>
    <w:rsid w:val="61B74A96"/>
    <w:rsid w:val="61D02916"/>
    <w:rsid w:val="61F0503E"/>
    <w:rsid w:val="61F96E5C"/>
    <w:rsid w:val="61FB7B4C"/>
    <w:rsid w:val="6200468F"/>
    <w:rsid w:val="62037CDB"/>
    <w:rsid w:val="620D46B6"/>
    <w:rsid w:val="62157D94"/>
    <w:rsid w:val="62207B63"/>
    <w:rsid w:val="622E70A1"/>
    <w:rsid w:val="623D2A44"/>
    <w:rsid w:val="624004A9"/>
    <w:rsid w:val="62430A90"/>
    <w:rsid w:val="62437BB2"/>
    <w:rsid w:val="624F5057"/>
    <w:rsid w:val="62556F61"/>
    <w:rsid w:val="625762B1"/>
    <w:rsid w:val="626369CC"/>
    <w:rsid w:val="626629F2"/>
    <w:rsid w:val="62714880"/>
    <w:rsid w:val="62740BD9"/>
    <w:rsid w:val="627A26E0"/>
    <w:rsid w:val="62992ECA"/>
    <w:rsid w:val="629D3C8C"/>
    <w:rsid w:val="629E0756"/>
    <w:rsid w:val="629E4F35"/>
    <w:rsid w:val="62A14BCC"/>
    <w:rsid w:val="62A212A2"/>
    <w:rsid w:val="62A51290"/>
    <w:rsid w:val="62AF51B0"/>
    <w:rsid w:val="62B041EE"/>
    <w:rsid w:val="62B87005"/>
    <w:rsid w:val="62C1097F"/>
    <w:rsid w:val="62C11B40"/>
    <w:rsid w:val="62DA74DF"/>
    <w:rsid w:val="62E249D7"/>
    <w:rsid w:val="62E46151"/>
    <w:rsid w:val="62E55633"/>
    <w:rsid w:val="62F40C0E"/>
    <w:rsid w:val="62FD0BCE"/>
    <w:rsid w:val="630073FA"/>
    <w:rsid w:val="631B72A6"/>
    <w:rsid w:val="631E71C0"/>
    <w:rsid w:val="63224191"/>
    <w:rsid w:val="63275368"/>
    <w:rsid w:val="6329057B"/>
    <w:rsid w:val="63316ACA"/>
    <w:rsid w:val="633820EB"/>
    <w:rsid w:val="633D6AEE"/>
    <w:rsid w:val="63416D0D"/>
    <w:rsid w:val="63467B6E"/>
    <w:rsid w:val="635309BC"/>
    <w:rsid w:val="63617E09"/>
    <w:rsid w:val="636E3F68"/>
    <w:rsid w:val="637437C6"/>
    <w:rsid w:val="637A1B12"/>
    <w:rsid w:val="637D3ABD"/>
    <w:rsid w:val="638210D3"/>
    <w:rsid w:val="638F59E4"/>
    <w:rsid w:val="639B1A88"/>
    <w:rsid w:val="63A06B95"/>
    <w:rsid w:val="63A754BD"/>
    <w:rsid w:val="63AE510B"/>
    <w:rsid w:val="63BE12F5"/>
    <w:rsid w:val="63BF0D6B"/>
    <w:rsid w:val="63C91173"/>
    <w:rsid w:val="63D47D67"/>
    <w:rsid w:val="63DE1974"/>
    <w:rsid w:val="63EB6C79"/>
    <w:rsid w:val="63F01E76"/>
    <w:rsid w:val="63FB34EC"/>
    <w:rsid w:val="63FF44D2"/>
    <w:rsid w:val="6414115C"/>
    <w:rsid w:val="64242308"/>
    <w:rsid w:val="642B3519"/>
    <w:rsid w:val="64410F8F"/>
    <w:rsid w:val="644E35F8"/>
    <w:rsid w:val="64527FF6"/>
    <w:rsid w:val="64671697"/>
    <w:rsid w:val="64744D5D"/>
    <w:rsid w:val="647549DD"/>
    <w:rsid w:val="64844F36"/>
    <w:rsid w:val="64893C4A"/>
    <w:rsid w:val="64A16B26"/>
    <w:rsid w:val="64A21A2D"/>
    <w:rsid w:val="64A50DAF"/>
    <w:rsid w:val="64BB0C35"/>
    <w:rsid w:val="64C179D9"/>
    <w:rsid w:val="64C2576F"/>
    <w:rsid w:val="64C47813"/>
    <w:rsid w:val="64CF76F4"/>
    <w:rsid w:val="64E2758F"/>
    <w:rsid w:val="64EC323A"/>
    <w:rsid w:val="64F330AD"/>
    <w:rsid w:val="64F44F73"/>
    <w:rsid w:val="64F72019"/>
    <w:rsid w:val="65077AE2"/>
    <w:rsid w:val="650E0E71"/>
    <w:rsid w:val="650F5075"/>
    <w:rsid w:val="651253A4"/>
    <w:rsid w:val="651548E6"/>
    <w:rsid w:val="652E32C1"/>
    <w:rsid w:val="652F2B95"/>
    <w:rsid w:val="65367190"/>
    <w:rsid w:val="65370F71"/>
    <w:rsid w:val="653B07C0"/>
    <w:rsid w:val="65404E52"/>
    <w:rsid w:val="654266AF"/>
    <w:rsid w:val="654B3E73"/>
    <w:rsid w:val="65510D5D"/>
    <w:rsid w:val="65714A7D"/>
    <w:rsid w:val="657333CA"/>
    <w:rsid w:val="657643FF"/>
    <w:rsid w:val="657B79F4"/>
    <w:rsid w:val="65856C59"/>
    <w:rsid w:val="658D56F3"/>
    <w:rsid w:val="658E3EBB"/>
    <w:rsid w:val="65956D0E"/>
    <w:rsid w:val="65CE0600"/>
    <w:rsid w:val="65D02296"/>
    <w:rsid w:val="65D835ED"/>
    <w:rsid w:val="65E20021"/>
    <w:rsid w:val="66085F05"/>
    <w:rsid w:val="66115A83"/>
    <w:rsid w:val="6626043C"/>
    <w:rsid w:val="662E109F"/>
    <w:rsid w:val="66326DE1"/>
    <w:rsid w:val="66355BA1"/>
    <w:rsid w:val="66357CFE"/>
    <w:rsid w:val="663743F7"/>
    <w:rsid w:val="663C52CC"/>
    <w:rsid w:val="66404DE3"/>
    <w:rsid w:val="66540C8F"/>
    <w:rsid w:val="665E7C64"/>
    <w:rsid w:val="66623CD3"/>
    <w:rsid w:val="6667518D"/>
    <w:rsid w:val="666F3437"/>
    <w:rsid w:val="667322A4"/>
    <w:rsid w:val="667E3DD4"/>
    <w:rsid w:val="669021AE"/>
    <w:rsid w:val="66903DD3"/>
    <w:rsid w:val="66943123"/>
    <w:rsid w:val="66B317A2"/>
    <w:rsid w:val="66B73214"/>
    <w:rsid w:val="66D62D5D"/>
    <w:rsid w:val="66D87317"/>
    <w:rsid w:val="66E127F7"/>
    <w:rsid w:val="66E54E82"/>
    <w:rsid w:val="66E7446A"/>
    <w:rsid w:val="66EF40B0"/>
    <w:rsid w:val="66F127C7"/>
    <w:rsid w:val="66FD5393"/>
    <w:rsid w:val="6703066F"/>
    <w:rsid w:val="67035B76"/>
    <w:rsid w:val="67160F11"/>
    <w:rsid w:val="671E23DD"/>
    <w:rsid w:val="67290ACE"/>
    <w:rsid w:val="67371C41"/>
    <w:rsid w:val="67420AC8"/>
    <w:rsid w:val="67514095"/>
    <w:rsid w:val="6759039D"/>
    <w:rsid w:val="675A129D"/>
    <w:rsid w:val="676B5837"/>
    <w:rsid w:val="676E7D45"/>
    <w:rsid w:val="6779459B"/>
    <w:rsid w:val="67794E58"/>
    <w:rsid w:val="67825A12"/>
    <w:rsid w:val="678C2D71"/>
    <w:rsid w:val="67961102"/>
    <w:rsid w:val="679B1D06"/>
    <w:rsid w:val="67A27F96"/>
    <w:rsid w:val="67B552A4"/>
    <w:rsid w:val="67C41A41"/>
    <w:rsid w:val="67CF368D"/>
    <w:rsid w:val="67D22629"/>
    <w:rsid w:val="67D23A07"/>
    <w:rsid w:val="67D60418"/>
    <w:rsid w:val="67D85766"/>
    <w:rsid w:val="67DA506E"/>
    <w:rsid w:val="67EE68FD"/>
    <w:rsid w:val="67F6646E"/>
    <w:rsid w:val="67FB5354"/>
    <w:rsid w:val="680B583D"/>
    <w:rsid w:val="68140955"/>
    <w:rsid w:val="681E22E0"/>
    <w:rsid w:val="6823745A"/>
    <w:rsid w:val="682378EA"/>
    <w:rsid w:val="68256F91"/>
    <w:rsid w:val="68282249"/>
    <w:rsid w:val="6828713D"/>
    <w:rsid w:val="682963AF"/>
    <w:rsid w:val="682E2300"/>
    <w:rsid w:val="68351AFD"/>
    <w:rsid w:val="6837199B"/>
    <w:rsid w:val="683C21D7"/>
    <w:rsid w:val="68446C9C"/>
    <w:rsid w:val="684969A7"/>
    <w:rsid w:val="684B418A"/>
    <w:rsid w:val="68572B2F"/>
    <w:rsid w:val="686A2A12"/>
    <w:rsid w:val="686C2FB8"/>
    <w:rsid w:val="687D7EE6"/>
    <w:rsid w:val="688337C7"/>
    <w:rsid w:val="689F30D9"/>
    <w:rsid w:val="68A14538"/>
    <w:rsid w:val="68B66FDB"/>
    <w:rsid w:val="68BD2A86"/>
    <w:rsid w:val="68BD6874"/>
    <w:rsid w:val="68BE063C"/>
    <w:rsid w:val="68BF157E"/>
    <w:rsid w:val="68C42A6D"/>
    <w:rsid w:val="68C54B2B"/>
    <w:rsid w:val="68C55F71"/>
    <w:rsid w:val="68C76123"/>
    <w:rsid w:val="68E1396A"/>
    <w:rsid w:val="68E346FA"/>
    <w:rsid w:val="68E34B8F"/>
    <w:rsid w:val="68E72104"/>
    <w:rsid w:val="68E777AA"/>
    <w:rsid w:val="68F31150"/>
    <w:rsid w:val="68FD0A34"/>
    <w:rsid w:val="691278AF"/>
    <w:rsid w:val="6922410C"/>
    <w:rsid w:val="69263C4A"/>
    <w:rsid w:val="692E2C41"/>
    <w:rsid w:val="692F05AA"/>
    <w:rsid w:val="69320B23"/>
    <w:rsid w:val="693A01F3"/>
    <w:rsid w:val="693E3762"/>
    <w:rsid w:val="694308C6"/>
    <w:rsid w:val="694B0368"/>
    <w:rsid w:val="695157D0"/>
    <w:rsid w:val="69612FB0"/>
    <w:rsid w:val="696A4D66"/>
    <w:rsid w:val="6982778A"/>
    <w:rsid w:val="698C7FFA"/>
    <w:rsid w:val="698E0D0B"/>
    <w:rsid w:val="69990F25"/>
    <w:rsid w:val="69A17ABB"/>
    <w:rsid w:val="69A7697E"/>
    <w:rsid w:val="69B16A73"/>
    <w:rsid w:val="69B31FE7"/>
    <w:rsid w:val="69B52457"/>
    <w:rsid w:val="69C612E3"/>
    <w:rsid w:val="69D84B34"/>
    <w:rsid w:val="69DB0E38"/>
    <w:rsid w:val="69E2467A"/>
    <w:rsid w:val="69E8074D"/>
    <w:rsid w:val="69F820EF"/>
    <w:rsid w:val="69FA2229"/>
    <w:rsid w:val="6A0679EE"/>
    <w:rsid w:val="6A292A15"/>
    <w:rsid w:val="6A3377CC"/>
    <w:rsid w:val="6A3C477A"/>
    <w:rsid w:val="6A475A7C"/>
    <w:rsid w:val="6A614836"/>
    <w:rsid w:val="6A675594"/>
    <w:rsid w:val="6A6D0279"/>
    <w:rsid w:val="6A7946BD"/>
    <w:rsid w:val="6A876ABD"/>
    <w:rsid w:val="6A890F99"/>
    <w:rsid w:val="6A92278D"/>
    <w:rsid w:val="6A9357CC"/>
    <w:rsid w:val="6AA06AFB"/>
    <w:rsid w:val="6AAF027F"/>
    <w:rsid w:val="6AB06D96"/>
    <w:rsid w:val="6ABE50E7"/>
    <w:rsid w:val="6AC60F39"/>
    <w:rsid w:val="6ACF2E50"/>
    <w:rsid w:val="6AD16513"/>
    <w:rsid w:val="6AD730FA"/>
    <w:rsid w:val="6ADC37BF"/>
    <w:rsid w:val="6AE6019A"/>
    <w:rsid w:val="6AF01018"/>
    <w:rsid w:val="6AFA17FB"/>
    <w:rsid w:val="6AFC3C46"/>
    <w:rsid w:val="6B100000"/>
    <w:rsid w:val="6B1A4836"/>
    <w:rsid w:val="6B1D51CB"/>
    <w:rsid w:val="6B202CFE"/>
    <w:rsid w:val="6B423097"/>
    <w:rsid w:val="6B4E1452"/>
    <w:rsid w:val="6B557947"/>
    <w:rsid w:val="6B622A95"/>
    <w:rsid w:val="6B652C45"/>
    <w:rsid w:val="6B6F436C"/>
    <w:rsid w:val="6B6F61E0"/>
    <w:rsid w:val="6B7E5762"/>
    <w:rsid w:val="6B8856C9"/>
    <w:rsid w:val="6B9A3B52"/>
    <w:rsid w:val="6B9F679B"/>
    <w:rsid w:val="6BA1603A"/>
    <w:rsid w:val="6BA40927"/>
    <w:rsid w:val="6BA81CC8"/>
    <w:rsid w:val="6BA92E11"/>
    <w:rsid w:val="6BB549F0"/>
    <w:rsid w:val="6BC75A88"/>
    <w:rsid w:val="6BCB65E9"/>
    <w:rsid w:val="6BCE3108"/>
    <w:rsid w:val="6BD955DC"/>
    <w:rsid w:val="6BDA5F51"/>
    <w:rsid w:val="6BDD1D86"/>
    <w:rsid w:val="6BE414B3"/>
    <w:rsid w:val="6BEE5558"/>
    <w:rsid w:val="6BEF307E"/>
    <w:rsid w:val="6BF377B3"/>
    <w:rsid w:val="6C027255"/>
    <w:rsid w:val="6C0E6BEE"/>
    <w:rsid w:val="6C1C31AC"/>
    <w:rsid w:val="6C1D45B8"/>
    <w:rsid w:val="6C2216A6"/>
    <w:rsid w:val="6C241393"/>
    <w:rsid w:val="6C252D55"/>
    <w:rsid w:val="6C27036E"/>
    <w:rsid w:val="6C293DD7"/>
    <w:rsid w:val="6C2F31AA"/>
    <w:rsid w:val="6C30791F"/>
    <w:rsid w:val="6C311E5A"/>
    <w:rsid w:val="6C352415"/>
    <w:rsid w:val="6C3F5C68"/>
    <w:rsid w:val="6C417D7E"/>
    <w:rsid w:val="6C42752C"/>
    <w:rsid w:val="6C43172A"/>
    <w:rsid w:val="6C492DBB"/>
    <w:rsid w:val="6C4B4B3C"/>
    <w:rsid w:val="6C5C5DC2"/>
    <w:rsid w:val="6C6B01EB"/>
    <w:rsid w:val="6C7B51A9"/>
    <w:rsid w:val="6C7D68DC"/>
    <w:rsid w:val="6C852C41"/>
    <w:rsid w:val="6C9D3680"/>
    <w:rsid w:val="6CA30856"/>
    <w:rsid w:val="6CA94952"/>
    <w:rsid w:val="6CAB51F7"/>
    <w:rsid w:val="6CAD0F6F"/>
    <w:rsid w:val="6CC0493F"/>
    <w:rsid w:val="6CC82BCF"/>
    <w:rsid w:val="6CD4714A"/>
    <w:rsid w:val="6CE56E57"/>
    <w:rsid w:val="6CEE5336"/>
    <w:rsid w:val="6CFC30FB"/>
    <w:rsid w:val="6D0A7B1D"/>
    <w:rsid w:val="6D1A398C"/>
    <w:rsid w:val="6D1C1FF7"/>
    <w:rsid w:val="6D1E4611"/>
    <w:rsid w:val="6D200ED9"/>
    <w:rsid w:val="6D233786"/>
    <w:rsid w:val="6D241539"/>
    <w:rsid w:val="6D3978A6"/>
    <w:rsid w:val="6D410BF1"/>
    <w:rsid w:val="6D451826"/>
    <w:rsid w:val="6D4D52B2"/>
    <w:rsid w:val="6D4E0963"/>
    <w:rsid w:val="6D4E713A"/>
    <w:rsid w:val="6D514074"/>
    <w:rsid w:val="6D547CF4"/>
    <w:rsid w:val="6D596F87"/>
    <w:rsid w:val="6D5C5E0B"/>
    <w:rsid w:val="6D643010"/>
    <w:rsid w:val="6D645910"/>
    <w:rsid w:val="6D710932"/>
    <w:rsid w:val="6D75164E"/>
    <w:rsid w:val="6D77157D"/>
    <w:rsid w:val="6D8A43BF"/>
    <w:rsid w:val="6D8D7153"/>
    <w:rsid w:val="6DA22A9E"/>
    <w:rsid w:val="6DA35E6F"/>
    <w:rsid w:val="6DA63D56"/>
    <w:rsid w:val="6DA9241D"/>
    <w:rsid w:val="6DB84E4F"/>
    <w:rsid w:val="6DBA2EED"/>
    <w:rsid w:val="6DC22EA0"/>
    <w:rsid w:val="6DCD0AF3"/>
    <w:rsid w:val="6DD156B9"/>
    <w:rsid w:val="6DD8201C"/>
    <w:rsid w:val="6DDF0252"/>
    <w:rsid w:val="6DE25B6F"/>
    <w:rsid w:val="6DE36242"/>
    <w:rsid w:val="6DF62A9C"/>
    <w:rsid w:val="6E14501E"/>
    <w:rsid w:val="6E155F4B"/>
    <w:rsid w:val="6E160D96"/>
    <w:rsid w:val="6E20323A"/>
    <w:rsid w:val="6E227042"/>
    <w:rsid w:val="6E24248D"/>
    <w:rsid w:val="6E274D51"/>
    <w:rsid w:val="6E283834"/>
    <w:rsid w:val="6E286D84"/>
    <w:rsid w:val="6E2A4841"/>
    <w:rsid w:val="6E2E444E"/>
    <w:rsid w:val="6E3206D6"/>
    <w:rsid w:val="6E3A1DF6"/>
    <w:rsid w:val="6E3A215A"/>
    <w:rsid w:val="6E40376F"/>
    <w:rsid w:val="6E406FF2"/>
    <w:rsid w:val="6E4B4CD1"/>
    <w:rsid w:val="6E5024FA"/>
    <w:rsid w:val="6E637175"/>
    <w:rsid w:val="6E737F96"/>
    <w:rsid w:val="6E7B70CA"/>
    <w:rsid w:val="6E9055F2"/>
    <w:rsid w:val="6E91752C"/>
    <w:rsid w:val="6E936436"/>
    <w:rsid w:val="6E98761D"/>
    <w:rsid w:val="6EA0586D"/>
    <w:rsid w:val="6EA73349"/>
    <w:rsid w:val="6EB0599B"/>
    <w:rsid w:val="6ECA25C6"/>
    <w:rsid w:val="6ECD3111"/>
    <w:rsid w:val="6ECF0E4D"/>
    <w:rsid w:val="6ECF4F15"/>
    <w:rsid w:val="6ED177DA"/>
    <w:rsid w:val="6ED62326"/>
    <w:rsid w:val="6EDE2373"/>
    <w:rsid w:val="6EEE2B9B"/>
    <w:rsid w:val="6EEE63C4"/>
    <w:rsid w:val="6EEF4650"/>
    <w:rsid w:val="6EF1575F"/>
    <w:rsid w:val="6EF554CC"/>
    <w:rsid w:val="6EFF54C9"/>
    <w:rsid w:val="6F0532EB"/>
    <w:rsid w:val="6F156229"/>
    <w:rsid w:val="6F1737D2"/>
    <w:rsid w:val="6F1928EC"/>
    <w:rsid w:val="6F1B21D8"/>
    <w:rsid w:val="6F2267F4"/>
    <w:rsid w:val="6F391136"/>
    <w:rsid w:val="6F3948BD"/>
    <w:rsid w:val="6F3C0F19"/>
    <w:rsid w:val="6F4013C2"/>
    <w:rsid w:val="6F5117AB"/>
    <w:rsid w:val="6F532332"/>
    <w:rsid w:val="6F605296"/>
    <w:rsid w:val="6F62636D"/>
    <w:rsid w:val="6F7B5A75"/>
    <w:rsid w:val="6F7C0F78"/>
    <w:rsid w:val="6F997223"/>
    <w:rsid w:val="6F9B2726"/>
    <w:rsid w:val="6FA02431"/>
    <w:rsid w:val="6FA64AAB"/>
    <w:rsid w:val="6FAE4FF0"/>
    <w:rsid w:val="6FBA6367"/>
    <w:rsid w:val="6FBE5C57"/>
    <w:rsid w:val="6FC45CCD"/>
    <w:rsid w:val="6FC523EB"/>
    <w:rsid w:val="6FDC2BA3"/>
    <w:rsid w:val="6FE26830"/>
    <w:rsid w:val="6FE847A8"/>
    <w:rsid w:val="6FF82AC0"/>
    <w:rsid w:val="6FFB46E7"/>
    <w:rsid w:val="70030E51"/>
    <w:rsid w:val="700A405F"/>
    <w:rsid w:val="701B40DF"/>
    <w:rsid w:val="701C3D68"/>
    <w:rsid w:val="701D28B0"/>
    <w:rsid w:val="702F613F"/>
    <w:rsid w:val="70310247"/>
    <w:rsid w:val="704A55A9"/>
    <w:rsid w:val="70500F50"/>
    <w:rsid w:val="705C33D8"/>
    <w:rsid w:val="70683D6E"/>
    <w:rsid w:val="706C4FFD"/>
    <w:rsid w:val="70801527"/>
    <w:rsid w:val="70821D67"/>
    <w:rsid w:val="70822A24"/>
    <w:rsid w:val="70943FC3"/>
    <w:rsid w:val="709616C4"/>
    <w:rsid w:val="70A61D67"/>
    <w:rsid w:val="70C12509"/>
    <w:rsid w:val="70D25448"/>
    <w:rsid w:val="70D32F6E"/>
    <w:rsid w:val="70D4221F"/>
    <w:rsid w:val="70D42BCE"/>
    <w:rsid w:val="70D43728"/>
    <w:rsid w:val="70D8270C"/>
    <w:rsid w:val="70DA0A06"/>
    <w:rsid w:val="70DF1913"/>
    <w:rsid w:val="70E60516"/>
    <w:rsid w:val="70F4540F"/>
    <w:rsid w:val="70FD34A3"/>
    <w:rsid w:val="7100797E"/>
    <w:rsid w:val="71015D2D"/>
    <w:rsid w:val="710E4627"/>
    <w:rsid w:val="71134C74"/>
    <w:rsid w:val="711710AD"/>
    <w:rsid w:val="711A1C9E"/>
    <w:rsid w:val="71231CC2"/>
    <w:rsid w:val="712B4136"/>
    <w:rsid w:val="713C6D66"/>
    <w:rsid w:val="71565FF1"/>
    <w:rsid w:val="716A38D3"/>
    <w:rsid w:val="71725BB0"/>
    <w:rsid w:val="717E4783"/>
    <w:rsid w:val="718B5455"/>
    <w:rsid w:val="718D6445"/>
    <w:rsid w:val="718F6E95"/>
    <w:rsid w:val="7191735E"/>
    <w:rsid w:val="7193461B"/>
    <w:rsid w:val="71946BA2"/>
    <w:rsid w:val="719F47E7"/>
    <w:rsid w:val="71A128C0"/>
    <w:rsid w:val="71AC4CBF"/>
    <w:rsid w:val="71B50A2A"/>
    <w:rsid w:val="71B7463E"/>
    <w:rsid w:val="71BF11C4"/>
    <w:rsid w:val="71C048E0"/>
    <w:rsid w:val="71C50B09"/>
    <w:rsid w:val="71DA3CAC"/>
    <w:rsid w:val="71E371D2"/>
    <w:rsid w:val="71ED1C92"/>
    <w:rsid w:val="72044B97"/>
    <w:rsid w:val="7218055B"/>
    <w:rsid w:val="722111CB"/>
    <w:rsid w:val="722872EA"/>
    <w:rsid w:val="722F4D16"/>
    <w:rsid w:val="72326EE7"/>
    <w:rsid w:val="723942F4"/>
    <w:rsid w:val="723B155B"/>
    <w:rsid w:val="723F4C55"/>
    <w:rsid w:val="72585359"/>
    <w:rsid w:val="725A00AC"/>
    <w:rsid w:val="725D3437"/>
    <w:rsid w:val="726F0F4A"/>
    <w:rsid w:val="727C6BC7"/>
    <w:rsid w:val="728067E1"/>
    <w:rsid w:val="72841CD5"/>
    <w:rsid w:val="728B1D53"/>
    <w:rsid w:val="72A709B6"/>
    <w:rsid w:val="72AF1ED5"/>
    <w:rsid w:val="72AF55B7"/>
    <w:rsid w:val="72B91E95"/>
    <w:rsid w:val="72C5775B"/>
    <w:rsid w:val="72C74B35"/>
    <w:rsid w:val="72C928DE"/>
    <w:rsid w:val="72CA3A7C"/>
    <w:rsid w:val="72D61BF3"/>
    <w:rsid w:val="72D84A90"/>
    <w:rsid w:val="72DA42A3"/>
    <w:rsid w:val="72DB6EC5"/>
    <w:rsid w:val="72DD00D4"/>
    <w:rsid w:val="72E523DB"/>
    <w:rsid w:val="72EA6989"/>
    <w:rsid w:val="72EC5614"/>
    <w:rsid w:val="72F23AA2"/>
    <w:rsid w:val="72F5702E"/>
    <w:rsid w:val="72FE0C8F"/>
    <w:rsid w:val="730012E9"/>
    <w:rsid w:val="73006CA4"/>
    <w:rsid w:val="73227BE3"/>
    <w:rsid w:val="732458D3"/>
    <w:rsid w:val="732743DA"/>
    <w:rsid w:val="733150C3"/>
    <w:rsid w:val="73357F10"/>
    <w:rsid w:val="73384279"/>
    <w:rsid w:val="733E5FA9"/>
    <w:rsid w:val="734168B5"/>
    <w:rsid w:val="7354588F"/>
    <w:rsid w:val="735E6655"/>
    <w:rsid w:val="7364055E"/>
    <w:rsid w:val="73661FA7"/>
    <w:rsid w:val="73906784"/>
    <w:rsid w:val="73920450"/>
    <w:rsid w:val="739622F0"/>
    <w:rsid w:val="73970283"/>
    <w:rsid w:val="73A66718"/>
    <w:rsid w:val="73AF7CC3"/>
    <w:rsid w:val="73B07597"/>
    <w:rsid w:val="73BB603C"/>
    <w:rsid w:val="73BD19D8"/>
    <w:rsid w:val="73C35201"/>
    <w:rsid w:val="73C4187C"/>
    <w:rsid w:val="73C64D7F"/>
    <w:rsid w:val="73E84316"/>
    <w:rsid w:val="73EA48F1"/>
    <w:rsid w:val="73EF6311"/>
    <w:rsid w:val="73F80DD1"/>
    <w:rsid w:val="740664A9"/>
    <w:rsid w:val="740C6EC3"/>
    <w:rsid w:val="74113EFA"/>
    <w:rsid w:val="74147B26"/>
    <w:rsid w:val="742D382A"/>
    <w:rsid w:val="74386EE2"/>
    <w:rsid w:val="743D3AC4"/>
    <w:rsid w:val="74424E23"/>
    <w:rsid w:val="744E5F5D"/>
    <w:rsid w:val="74515220"/>
    <w:rsid w:val="7455006E"/>
    <w:rsid w:val="74573B3A"/>
    <w:rsid w:val="745A6CC4"/>
    <w:rsid w:val="74626AE3"/>
    <w:rsid w:val="74671085"/>
    <w:rsid w:val="746F7452"/>
    <w:rsid w:val="747A4CD2"/>
    <w:rsid w:val="7487009E"/>
    <w:rsid w:val="74884E3D"/>
    <w:rsid w:val="748A53C5"/>
    <w:rsid w:val="74934EEE"/>
    <w:rsid w:val="749679D6"/>
    <w:rsid w:val="74990236"/>
    <w:rsid w:val="74A40CD7"/>
    <w:rsid w:val="74AF3F63"/>
    <w:rsid w:val="74BD752D"/>
    <w:rsid w:val="74C06305"/>
    <w:rsid w:val="74C336B6"/>
    <w:rsid w:val="74C55228"/>
    <w:rsid w:val="74C601E7"/>
    <w:rsid w:val="74E514C2"/>
    <w:rsid w:val="74EA412A"/>
    <w:rsid w:val="74F47C5D"/>
    <w:rsid w:val="74FE006E"/>
    <w:rsid w:val="7513602F"/>
    <w:rsid w:val="751B6CC4"/>
    <w:rsid w:val="75220020"/>
    <w:rsid w:val="75243513"/>
    <w:rsid w:val="752D1960"/>
    <w:rsid w:val="752E0E4E"/>
    <w:rsid w:val="75304351"/>
    <w:rsid w:val="75323C80"/>
    <w:rsid w:val="75357084"/>
    <w:rsid w:val="754167EA"/>
    <w:rsid w:val="7542104B"/>
    <w:rsid w:val="75481B9D"/>
    <w:rsid w:val="75502DDF"/>
    <w:rsid w:val="75555FAC"/>
    <w:rsid w:val="755E5AEA"/>
    <w:rsid w:val="75695C4F"/>
    <w:rsid w:val="757A433E"/>
    <w:rsid w:val="757E4030"/>
    <w:rsid w:val="75841E9C"/>
    <w:rsid w:val="75882579"/>
    <w:rsid w:val="759B29F2"/>
    <w:rsid w:val="75A35E40"/>
    <w:rsid w:val="75AF26A1"/>
    <w:rsid w:val="75DF0C72"/>
    <w:rsid w:val="75EB0A79"/>
    <w:rsid w:val="75ED2186"/>
    <w:rsid w:val="75F0011F"/>
    <w:rsid w:val="75FF39C1"/>
    <w:rsid w:val="7608293E"/>
    <w:rsid w:val="7610256F"/>
    <w:rsid w:val="761826E8"/>
    <w:rsid w:val="7619273B"/>
    <w:rsid w:val="76277D6C"/>
    <w:rsid w:val="762831AB"/>
    <w:rsid w:val="76333893"/>
    <w:rsid w:val="7637387F"/>
    <w:rsid w:val="763F2515"/>
    <w:rsid w:val="7640418E"/>
    <w:rsid w:val="764D5571"/>
    <w:rsid w:val="76542E2F"/>
    <w:rsid w:val="765C0B0C"/>
    <w:rsid w:val="766101DE"/>
    <w:rsid w:val="7671300D"/>
    <w:rsid w:val="76740D50"/>
    <w:rsid w:val="768371E5"/>
    <w:rsid w:val="7688442E"/>
    <w:rsid w:val="768C254D"/>
    <w:rsid w:val="768D0F4C"/>
    <w:rsid w:val="768D748A"/>
    <w:rsid w:val="7694749C"/>
    <w:rsid w:val="76960CC6"/>
    <w:rsid w:val="76A651B8"/>
    <w:rsid w:val="76AC04E9"/>
    <w:rsid w:val="76BC14D9"/>
    <w:rsid w:val="76C159E1"/>
    <w:rsid w:val="76C543E8"/>
    <w:rsid w:val="76C770D1"/>
    <w:rsid w:val="76D937F8"/>
    <w:rsid w:val="76DD5312"/>
    <w:rsid w:val="76EF3CB7"/>
    <w:rsid w:val="76F612C8"/>
    <w:rsid w:val="77016AC1"/>
    <w:rsid w:val="770E38E2"/>
    <w:rsid w:val="770F1364"/>
    <w:rsid w:val="770F7D63"/>
    <w:rsid w:val="7719700C"/>
    <w:rsid w:val="771A36A5"/>
    <w:rsid w:val="773A7DA2"/>
    <w:rsid w:val="77494CCC"/>
    <w:rsid w:val="774E15A1"/>
    <w:rsid w:val="77531241"/>
    <w:rsid w:val="77571758"/>
    <w:rsid w:val="77591BF5"/>
    <w:rsid w:val="77605408"/>
    <w:rsid w:val="77617AE9"/>
    <w:rsid w:val="777D7419"/>
    <w:rsid w:val="777E1618"/>
    <w:rsid w:val="77884AB3"/>
    <w:rsid w:val="778B757D"/>
    <w:rsid w:val="778F1190"/>
    <w:rsid w:val="779F4B31"/>
    <w:rsid w:val="77A47C93"/>
    <w:rsid w:val="77AD276B"/>
    <w:rsid w:val="77AE76FC"/>
    <w:rsid w:val="77C503E6"/>
    <w:rsid w:val="77E45A61"/>
    <w:rsid w:val="77EF2BD0"/>
    <w:rsid w:val="77F75794"/>
    <w:rsid w:val="77F923B9"/>
    <w:rsid w:val="77FA7283"/>
    <w:rsid w:val="78107F0B"/>
    <w:rsid w:val="7818765A"/>
    <w:rsid w:val="78212811"/>
    <w:rsid w:val="78295334"/>
    <w:rsid w:val="7831731F"/>
    <w:rsid w:val="783678B9"/>
    <w:rsid w:val="783B7D77"/>
    <w:rsid w:val="783E05AD"/>
    <w:rsid w:val="784120E7"/>
    <w:rsid w:val="78412EB3"/>
    <w:rsid w:val="784B3BB7"/>
    <w:rsid w:val="784E0BBF"/>
    <w:rsid w:val="78565A3E"/>
    <w:rsid w:val="78661915"/>
    <w:rsid w:val="78662933"/>
    <w:rsid w:val="788039DC"/>
    <w:rsid w:val="78892AF8"/>
    <w:rsid w:val="788A03B6"/>
    <w:rsid w:val="78977B66"/>
    <w:rsid w:val="789833E9"/>
    <w:rsid w:val="78A06383"/>
    <w:rsid w:val="78B611AB"/>
    <w:rsid w:val="78C412DE"/>
    <w:rsid w:val="78CC6D3B"/>
    <w:rsid w:val="78D6184E"/>
    <w:rsid w:val="78E068EC"/>
    <w:rsid w:val="78EE6AF3"/>
    <w:rsid w:val="78F61204"/>
    <w:rsid w:val="78FF66D5"/>
    <w:rsid w:val="790928A6"/>
    <w:rsid w:val="7915026D"/>
    <w:rsid w:val="791D4BEC"/>
    <w:rsid w:val="791D747D"/>
    <w:rsid w:val="792D5912"/>
    <w:rsid w:val="792F71B0"/>
    <w:rsid w:val="793049E6"/>
    <w:rsid w:val="793A6280"/>
    <w:rsid w:val="79426EE3"/>
    <w:rsid w:val="794E3E11"/>
    <w:rsid w:val="79565B55"/>
    <w:rsid w:val="795B69AA"/>
    <w:rsid w:val="7968243D"/>
    <w:rsid w:val="796A5558"/>
    <w:rsid w:val="797E7C8C"/>
    <w:rsid w:val="79805C17"/>
    <w:rsid w:val="79882799"/>
    <w:rsid w:val="79A02597"/>
    <w:rsid w:val="79A75FA3"/>
    <w:rsid w:val="79AE4579"/>
    <w:rsid w:val="79B06543"/>
    <w:rsid w:val="79B91034"/>
    <w:rsid w:val="79BD7FD1"/>
    <w:rsid w:val="79C9375B"/>
    <w:rsid w:val="79CD63AD"/>
    <w:rsid w:val="79D81362"/>
    <w:rsid w:val="79E05934"/>
    <w:rsid w:val="79E06C03"/>
    <w:rsid w:val="79E5308B"/>
    <w:rsid w:val="79E74C8A"/>
    <w:rsid w:val="79EF5B99"/>
    <w:rsid w:val="79F0693F"/>
    <w:rsid w:val="79F223A1"/>
    <w:rsid w:val="79F31899"/>
    <w:rsid w:val="79F6735E"/>
    <w:rsid w:val="7A0B072E"/>
    <w:rsid w:val="7A101951"/>
    <w:rsid w:val="7A17211E"/>
    <w:rsid w:val="7A2B7977"/>
    <w:rsid w:val="7A31097F"/>
    <w:rsid w:val="7A335389"/>
    <w:rsid w:val="7A39719B"/>
    <w:rsid w:val="7A3E0239"/>
    <w:rsid w:val="7A4820BF"/>
    <w:rsid w:val="7A507420"/>
    <w:rsid w:val="7A517469"/>
    <w:rsid w:val="7A520EB7"/>
    <w:rsid w:val="7A5336BF"/>
    <w:rsid w:val="7A5A025C"/>
    <w:rsid w:val="7A63421A"/>
    <w:rsid w:val="7A6A76C0"/>
    <w:rsid w:val="7A6F1399"/>
    <w:rsid w:val="7A727416"/>
    <w:rsid w:val="7A805F15"/>
    <w:rsid w:val="7A807CC3"/>
    <w:rsid w:val="7AA31C03"/>
    <w:rsid w:val="7AA440B2"/>
    <w:rsid w:val="7AA558A9"/>
    <w:rsid w:val="7AA656C8"/>
    <w:rsid w:val="7AA7684B"/>
    <w:rsid w:val="7AAA2F92"/>
    <w:rsid w:val="7AAD2A82"/>
    <w:rsid w:val="7AB03A59"/>
    <w:rsid w:val="7AB25BFC"/>
    <w:rsid w:val="7AC34C78"/>
    <w:rsid w:val="7ACC4282"/>
    <w:rsid w:val="7AD1070A"/>
    <w:rsid w:val="7AD26045"/>
    <w:rsid w:val="7AEA09FC"/>
    <w:rsid w:val="7AEA2E47"/>
    <w:rsid w:val="7AF95535"/>
    <w:rsid w:val="7B0703E4"/>
    <w:rsid w:val="7B0B61A7"/>
    <w:rsid w:val="7B0D1534"/>
    <w:rsid w:val="7B1072F5"/>
    <w:rsid w:val="7B14377D"/>
    <w:rsid w:val="7B147EFA"/>
    <w:rsid w:val="7B1B7B30"/>
    <w:rsid w:val="7B21041D"/>
    <w:rsid w:val="7B3242CF"/>
    <w:rsid w:val="7B427902"/>
    <w:rsid w:val="7B4464CB"/>
    <w:rsid w:val="7B476A33"/>
    <w:rsid w:val="7B4A03D4"/>
    <w:rsid w:val="7B513555"/>
    <w:rsid w:val="7B54736C"/>
    <w:rsid w:val="7B577AAF"/>
    <w:rsid w:val="7B5C2D88"/>
    <w:rsid w:val="7B625A7B"/>
    <w:rsid w:val="7B6B6301"/>
    <w:rsid w:val="7B723FF9"/>
    <w:rsid w:val="7B7A2964"/>
    <w:rsid w:val="7B7E2098"/>
    <w:rsid w:val="7B866F34"/>
    <w:rsid w:val="7B86755B"/>
    <w:rsid w:val="7B8A691F"/>
    <w:rsid w:val="7B964626"/>
    <w:rsid w:val="7BA06437"/>
    <w:rsid w:val="7BA8076D"/>
    <w:rsid w:val="7BB045D8"/>
    <w:rsid w:val="7BB340C8"/>
    <w:rsid w:val="7BC049B4"/>
    <w:rsid w:val="7BC13A52"/>
    <w:rsid w:val="7BC15F35"/>
    <w:rsid w:val="7BCB31C0"/>
    <w:rsid w:val="7BD35FC9"/>
    <w:rsid w:val="7BE66F1E"/>
    <w:rsid w:val="7BEF237A"/>
    <w:rsid w:val="7C0923C1"/>
    <w:rsid w:val="7C093CE8"/>
    <w:rsid w:val="7C1477F3"/>
    <w:rsid w:val="7C1977A8"/>
    <w:rsid w:val="7C3612D6"/>
    <w:rsid w:val="7C372603"/>
    <w:rsid w:val="7C3C0AB4"/>
    <w:rsid w:val="7C4116D4"/>
    <w:rsid w:val="7C480CB4"/>
    <w:rsid w:val="7C4B7958"/>
    <w:rsid w:val="7C4C3713"/>
    <w:rsid w:val="7C533EC0"/>
    <w:rsid w:val="7C5C650E"/>
    <w:rsid w:val="7C6A15B3"/>
    <w:rsid w:val="7C817EC7"/>
    <w:rsid w:val="7C861E52"/>
    <w:rsid w:val="7C882F0A"/>
    <w:rsid w:val="7C8A307B"/>
    <w:rsid w:val="7C964B73"/>
    <w:rsid w:val="7C9A7A0D"/>
    <w:rsid w:val="7CA3770C"/>
    <w:rsid w:val="7CAA7329"/>
    <w:rsid w:val="7CAF351E"/>
    <w:rsid w:val="7CB27EDF"/>
    <w:rsid w:val="7CB86F9F"/>
    <w:rsid w:val="7CD463B3"/>
    <w:rsid w:val="7CD47EDB"/>
    <w:rsid w:val="7CD51F65"/>
    <w:rsid w:val="7CE07187"/>
    <w:rsid w:val="7CE80166"/>
    <w:rsid w:val="7CEE2BCE"/>
    <w:rsid w:val="7CF34C37"/>
    <w:rsid w:val="7CF6525B"/>
    <w:rsid w:val="7CF75575"/>
    <w:rsid w:val="7D005541"/>
    <w:rsid w:val="7D023483"/>
    <w:rsid w:val="7D08050E"/>
    <w:rsid w:val="7D3033FB"/>
    <w:rsid w:val="7D315CD9"/>
    <w:rsid w:val="7D3A51DB"/>
    <w:rsid w:val="7D453A82"/>
    <w:rsid w:val="7D4C0659"/>
    <w:rsid w:val="7D531E73"/>
    <w:rsid w:val="7D576042"/>
    <w:rsid w:val="7D5D6B0F"/>
    <w:rsid w:val="7D691DC8"/>
    <w:rsid w:val="7D6A130C"/>
    <w:rsid w:val="7D6C3AB3"/>
    <w:rsid w:val="7D785165"/>
    <w:rsid w:val="7D7936F5"/>
    <w:rsid w:val="7D82525C"/>
    <w:rsid w:val="7D8D287D"/>
    <w:rsid w:val="7D913F95"/>
    <w:rsid w:val="7D95448B"/>
    <w:rsid w:val="7D9F2B56"/>
    <w:rsid w:val="7DB54128"/>
    <w:rsid w:val="7DB679E0"/>
    <w:rsid w:val="7DBB38F7"/>
    <w:rsid w:val="7DBC387D"/>
    <w:rsid w:val="7DBC563F"/>
    <w:rsid w:val="7DC355E5"/>
    <w:rsid w:val="7DC861E9"/>
    <w:rsid w:val="7DE81315"/>
    <w:rsid w:val="7DEE6429"/>
    <w:rsid w:val="7E0061B4"/>
    <w:rsid w:val="7E097FCF"/>
    <w:rsid w:val="7E1505F7"/>
    <w:rsid w:val="7E152E18"/>
    <w:rsid w:val="7E2146A1"/>
    <w:rsid w:val="7E220446"/>
    <w:rsid w:val="7E2B1CAC"/>
    <w:rsid w:val="7E3B1136"/>
    <w:rsid w:val="7E483CFF"/>
    <w:rsid w:val="7E6E2528"/>
    <w:rsid w:val="7E764D9F"/>
    <w:rsid w:val="7E79600D"/>
    <w:rsid w:val="7E7A4B98"/>
    <w:rsid w:val="7EA0044B"/>
    <w:rsid w:val="7EA832D9"/>
    <w:rsid w:val="7EB03F69"/>
    <w:rsid w:val="7EB74230"/>
    <w:rsid w:val="7EB937C3"/>
    <w:rsid w:val="7EBD1D42"/>
    <w:rsid w:val="7EC4431D"/>
    <w:rsid w:val="7EC97991"/>
    <w:rsid w:val="7EDC1B88"/>
    <w:rsid w:val="7EDC44DB"/>
    <w:rsid w:val="7EDD06E5"/>
    <w:rsid w:val="7EE22BCA"/>
    <w:rsid w:val="7F0945F7"/>
    <w:rsid w:val="7F0C2FFD"/>
    <w:rsid w:val="7F13078A"/>
    <w:rsid w:val="7F1B7FBA"/>
    <w:rsid w:val="7F1E3990"/>
    <w:rsid w:val="7F1F2C75"/>
    <w:rsid w:val="7F2553EE"/>
    <w:rsid w:val="7F2A644F"/>
    <w:rsid w:val="7F2E4837"/>
    <w:rsid w:val="7F3040A4"/>
    <w:rsid w:val="7F32323D"/>
    <w:rsid w:val="7F350F81"/>
    <w:rsid w:val="7F3A174B"/>
    <w:rsid w:val="7F402553"/>
    <w:rsid w:val="7F417FD4"/>
    <w:rsid w:val="7F44396E"/>
    <w:rsid w:val="7F4A08E4"/>
    <w:rsid w:val="7F531D94"/>
    <w:rsid w:val="7F5411F3"/>
    <w:rsid w:val="7F5636E8"/>
    <w:rsid w:val="7F5B2AAD"/>
    <w:rsid w:val="7F601E71"/>
    <w:rsid w:val="7F606315"/>
    <w:rsid w:val="7F687E94"/>
    <w:rsid w:val="7F6A3397"/>
    <w:rsid w:val="7F6D27E0"/>
    <w:rsid w:val="7F9697DB"/>
    <w:rsid w:val="7F9A49D5"/>
    <w:rsid w:val="7F9A5EFC"/>
    <w:rsid w:val="7FA6649C"/>
    <w:rsid w:val="7FA66D17"/>
    <w:rsid w:val="7FB0125F"/>
    <w:rsid w:val="7FB07B46"/>
    <w:rsid w:val="7FB14B45"/>
    <w:rsid w:val="7FC06324"/>
    <w:rsid w:val="7FD45C16"/>
    <w:rsid w:val="7FE65E0B"/>
    <w:rsid w:val="7FEE3921"/>
    <w:rsid w:val="BA9F6E1F"/>
    <w:rsid w:val="CDFF24B8"/>
    <w:rsid w:val="D9F367C9"/>
    <w:rsid w:val="DFFFFD0B"/>
    <w:rsid w:val="EEF7AD59"/>
    <w:rsid w:val="F9BF0ED1"/>
    <w:rsid w:val="FBFF0B5D"/>
    <w:rsid w:val="FDF53FC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semiHidden="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qFormat="1" w:uiPriority="99" w:semiHidden="0"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rPr>
  </w:style>
  <w:style w:type="paragraph" w:styleId="2">
    <w:name w:val="heading 1"/>
    <w:basedOn w:val="1"/>
    <w:next w:val="1"/>
    <w:link w:val="29"/>
    <w:qFormat/>
    <w:uiPriority w:val="9"/>
    <w:pPr>
      <w:keepNext/>
      <w:keepLines/>
      <w:spacing w:before="340" w:after="330" w:line="360" w:lineRule="auto"/>
      <w:outlineLvl w:val="0"/>
    </w:pPr>
    <w:rPr>
      <w:rFonts w:eastAsia="仿宋_GB2312"/>
      <w:b/>
      <w:bCs/>
      <w:kern w:val="44"/>
      <w:sz w:val="36"/>
      <w:szCs w:val="44"/>
    </w:rPr>
  </w:style>
  <w:style w:type="paragraph" w:styleId="3">
    <w:name w:val="heading 2"/>
    <w:basedOn w:val="1"/>
    <w:next w:val="1"/>
    <w:link w:val="28"/>
    <w:unhideWhenUsed/>
    <w:qFormat/>
    <w:uiPriority w:val="9"/>
    <w:pPr>
      <w:keepNext/>
      <w:keepLines/>
      <w:spacing w:before="260" w:after="260" w:line="360" w:lineRule="auto"/>
      <w:ind w:firstLine="200" w:firstLineChars="200"/>
      <w:outlineLvl w:val="1"/>
    </w:pPr>
    <w:rPr>
      <w:rFonts w:eastAsia="仿宋_GB2312" w:asciiTheme="majorHAnsi" w:hAnsiTheme="majorHAnsi" w:cstheme="majorBidi"/>
      <w:b/>
      <w:bCs/>
      <w:sz w:val="32"/>
      <w:szCs w:val="32"/>
    </w:rPr>
  </w:style>
  <w:style w:type="paragraph" w:styleId="4">
    <w:name w:val="heading 3"/>
    <w:basedOn w:val="1"/>
    <w:next w:val="1"/>
    <w:link w:val="27"/>
    <w:unhideWhenUsed/>
    <w:qFormat/>
    <w:uiPriority w:val="9"/>
    <w:pPr>
      <w:spacing w:after="0" w:line="600" w:lineRule="exact"/>
      <w:ind w:firstLine="1041" w:firstLineChars="200"/>
      <w:jc w:val="both"/>
      <w:outlineLvl w:val="2"/>
    </w:pPr>
    <w:rPr>
      <w:rFonts w:hint="eastAsia" w:ascii="宋体" w:hAnsi="宋体" w:eastAsia="仿宋_GB2312" w:cs="Times New Roman"/>
      <w:b/>
      <w:bCs/>
      <w:kern w:val="0"/>
      <w:sz w:val="32"/>
      <w:szCs w:val="27"/>
    </w:rPr>
  </w:style>
  <w:style w:type="paragraph" w:styleId="5">
    <w:name w:val="heading 5"/>
    <w:next w:val="1"/>
    <w:qFormat/>
    <w:uiPriority w:val="0"/>
    <w:pPr>
      <w:spacing w:before="240" w:after="120" w:line="288" w:lineRule="auto"/>
      <w:outlineLvl w:val="4"/>
    </w:pPr>
    <w:rPr>
      <w:rFonts w:ascii="Arial" w:hAnsi="Arial" w:eastAsia="等线" w:cs="Arial"/>
      <w:b/>
      <w:bCs/>
      <w:sz w:val="24"/>
      <w:szCs w:val="24"/>
      <w:lang w:val="en-US" w:eastAsia="zh-CN" w:bidi="ar-SA"/>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33"/>
    <w:semiHidden/>
    <w:unhideWhenUsed/>
    <w:qFormat/>
    <w:uiPriority w:val="99"/>
    <w:rPr>
      <w:rFonts w:ascii="宋体" w:eastAsia="宋体"/>
      <w:sz w:val="18"/>
      <w:szCs w:val="18"/>
    </w:rPr>
  </w:style>
  <w:style w:type="paragraph" w:styleId="7">
    <w:name w:val="annotation text"/>
    <w:basedOn w:val="1"/>
    <w:semiHidden/>
    <w:unhideWhenUsed/>
    <w:qFormat/>
    <w:uiPriority w:val="99"/>
  </w:style>
  <w:style w:type="paragraph" w:styleId="8">
    <w:name w:val="Body Text"/>
    <w:basedOn w:val="1"/>
    <w:semiHidden/>
    <w:qFormat/>
    <w:uiPriority w:val="0"/>
    <w:rPr>
      <w:rFonts w:ascii="Arial" w:hAnsi="Arial" w:eastAsia="Arial" w:cs="Arial"/>
      <w:sz w:val="21"/>
      <w:szCs w:val="21"/>
      <w:lang w:eastAsia="en-US"/>
    </w:rPr>
  </w:style>
  <w:style w:type="paragraph" w:styleId="9">
    <w:name w:val="HTML Address"/>
    <w:unhideWhenUsed/>
    <w:qFormat/>
    <w:uiPriority w:val="99"/>
    <w:pPr>
      <w:widowControl w:val="0"/>
      <w:jc w:val="both"/>
    </w:pPr>
    <w:rPr>
      <w:rFonts w:ascii="Calibri" w:hAnsi="Calibri" w:eastAsia="宋体" w:cs="Times New Roman"/>
      <w:i/>
      <w:iCs/>
      <w:kern w:val="2"/>
      <w:sz w:val="21"/>
      <w:szCs w:val="24"/>
      <w:lang w:val="en-US" w:eastAsia="zh-CN" w:bidi="ar-SA"/>
    </w:rPr>
  </w:style>
  <w:style w:type="paragraph" w:styleId="10">
    <w:name w:val="toc 3"/>
    <w:basedOn w:val="1"/>
    <w:next w:val="1"/>
    <w:unhideWhenUsed/>
    <w:qFormat/>
    <w:uiPriority w:val="39"/>
    <w:pPr>
      <w:adjustRightInd w:val="0"/>
      <w:spacing w:after="0" w:line="580" w:lineRule="exact"/>
      <w:ind w:left="840" w:leftChars="400"/>
      <w:jc w:val="both"/>
    </w:pPr>
    <w:rPr>
      <w:rFonts w:ascii="Times New Roman" w:hAnsi="Times New Roman" w:eastAsia="宋体"/>
      <w:sz w:val="28"/>
    </w:rPr>
  </w:style>
  <w:style w:type="paragraph" w:styleId="11">
    <w:name w:val="Balloon Text"/>
    <w:basedOn w:val="1"/>
    <w:link w:val="43"/>
    <w:semiHidden/>
    <w:unhideWhenUsed/>
    <w:qFormat/>
    <w:uiPriority w:val="99"/>
    <w:pPr>
      <w:spacing w:after="0" w:line="240" w:lineRule="auto"/>
    </w:pPr>
    <w:rPr>
      <w:sz w:val="18"/>
      <w:szCs w:val="18"/>
    </w:rPr>
  </w:style>
  <w:style w:type="paragraph" w:styleId="12">
    <w:name w:val="footer"/>
    <w:basedOn w:val="1"/>
    <w:link w:val="31"/>
    <w:unhideWhenUsed/>
    <w:qFormat/>
    <w:uiPriority w:val="99"/>
    <w:pPr>
      <w:tabs>
        <w:tab w:val="center" w:pos="4153"/>
        <w:tab w:val="right" w:pos="8306"/>
      </w:tabs>
      <w:snapToGrid w:val="0"/>
    </w:pPr>
    <w:rPr>
      <w:sz w:val="18"/>
      <w:szCs w:val="18"/>
    </w:rPr>
  </w:style>
  <w:style w:type="paragraph" w:styleId="13">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adjustRightInd w:val="0"/>
      <w:spacing w:after="0" w:line="580" w:lineRule="exact"/>
    </w:pPr>
    <w:rPr>
      <w:rFonts w:ascii="Times New Roman" w:hAnsi="Times New Roman" w:eastAsia="黑体"/>
      <w:b/>
      <w:sz w:val="28"/>
    </w:rPr>
  </w:style>
  <w:style w:type="paragraph" w:styleId="15">
    <w:name w:val="footnote text"/>
    <w:basedOn w:val="1"/>
    <w:qFormat/>
    <w:uiPriority w:val="99"/>
    <w:pPr>
      <w:snapToGrid w:val="0"/>
    </w:pPr>
    <w:rPr>
      <w:sz w:val="18"/>
    </w:rPr>
  </w:style>
  <w:style w:type="paragraph" w:styleId="16">
    <w:name w:val="toc 2"/>
    <w:basedOn w:val="1"/>
    <w:next w:val="1"/>
    <w:unhideWhenUsed/>
    <w:qFormat/>
    <w:uiPriority w:val="39"/>
    <w:pPr>
      <w:adjustRightInd w:val="0"/>
      <w:spacing w:after="0" w:line="580" w:lineRule="exact"/>
      <w:ind w:left="420" w:leftChars="200"/>
      <w:jc w:val="both"/>
    </w:pPr>
    <w:rPr>
      <w:rFonts w:ascii="Times New Roman" w:hAnsi="Times New Roman" w:eastAsia="楷体"/>
      <w:sz w:val="28"/>
    </w:rPr>
  </w:style>
  <w:style w:type="paragraph" w:styleId="17">
    <w:name w:val="Normal (Web)"/>
    <w:basedOn w:val="1"/>
    <w:semiHidden/>
    <w:unhideWhenUsed/>
    <w:qFormat/>
    <w:uiPriority w:val="99"/>
    <w:pPr>
      <w:spacing w:beforeAutospacing="1" w:after="0" w:afterAutospacing="1"/>
    </w:pPr>
    <w:rPr>
      <w:rFonts w:cs="Times New Roman"/>
      <w:kern w:val="0"/>
      <w:sz w:val="24"/>
    </w:rPr>
  </w:style>
  <w:style w:type="paragraph" w:styleId="18">
    <w:name w:val="Title"/>
    <w:basedOn w:val="1"/>
    <w:qFormat/>
    <w:uiPriority w:val="0"/>
    <w:pPr>
      <w:jc w:val="center"/>
      <w:outlineLvl w:val="0"/>
    </w:pPr>
    <w:rPr>
      <w:rFonts w:ascii="Arial" w:hAnsi="Arial"/>
      <w:b/>
      <w:sz w:val="32"/>
    </w:rPr>
  </w:style>
  <w:style w:type="table" w:styleId="20">
    <w:name w:val="Table Grid"/>
    <w:basedOn w:val="1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rPr>
  </w:style>
  <w:style w:type="character" w:styleId="23">
    <w:name w:val="page number"/>
    <w:basedOn w:val="21"/>
    <w:qFormat/>
    <w:uiPriority w:val="0"/>
  </w:style>
  <w:style w:type="character" w:styleId="24">
    <w:name w:val="Emphasis"/>
    <w:basedOn w:val="21"/>
    <w:qFormat/>
    <w:uiPriority w:val="20"/>
    <w:rPr>
      <w:i/>
    </w:rPr>
  </w:style>
  <w:style w:type="character" w:styleId="25">
    <w:name w:val="Hyperlink"/>
    <w:basedOn w:val="21"/>
    <w:unhideWhenUsed/>
    <w:qFormat/>
    <w:uiPriority w:val="99"/>
    <w:rPr>
      <w:color w:val="0000FF"/>
      <w:u w:val="single"/>
    </w:rPr>
  </w:style>
  <w:style w:type="paragraph" w:customStyle="1" w:styleId="26">
    <w:name w:val="目录样式1"/>
    <w:basedOn w:val="1"/>
    <w:qFormat/>
    <w:uiPriority w:val="0"/>
    <w:pPr>
      <w:tabs>
        <w:tab w:val="right" w:leader="dot" w:pos="8306"/>
      </w:tabs>
      <w:adjustRightInd w:val="0"/>
      <w:spacing w:after="0" w:line="580" w:lineRule="exact"/>
      <w:jc w:val="both"/>
    </w:pPr>
    <w:rPr>
      <w:rFonts w:ascii="Times New Roman" w:hAnsi="Times New Roman" w:eastAsia="黑体" w:cs="Times New Roman"/>
      <w:b/>
      <w:sz w:val="32"/>
    </w:rPr>
  </w:style>
  <w:style w:type="character" w:customStyle="1" w:styleId="27">
    <w:name w:val="标题 3 字符"/>
    <w:basedOn w:val="21"/>
    <w:link w:val="4"/>
    <w:qFormat/>
    <w:uiPriority w:val="0"/>
    <w:rPr>
      <w:rFonts w:hint="eastAsia" w:ascii="宋体" w:hAnsi="宋体" w:eastAsia="仿宋_GB2312" w:cs="宋体"/>
      <w:b/>
      <w:bCs/>
      <w:kern w:val="0"/>
      <w:sz w:val="32"/>
      <w:szCs w:val="27"/>
    </w:rPr>
  </w:style>
  <w:style w:type="character" w:customStyle="1" w:styleId="28">
    <w:name w:val="标题 2 字符"/>
    <w:basedOn w:val="21"/>
    <w:link w:val="3"/>
    <w:qFormat/>
    <w:uiPriority w:val="9"/>
    <w:rPr>
      <w:rFonts w:eastAsia="仿宋_GB2312" w:asciiTheme="majorHAnsi" w:hAnsiTheme="majorHAnsi" w:cstheme="majorBidi"/>
      <w:b/>
      <w:bCs/>
      <w:sz w:val="32"/>
      <w:szCs w:val="32"/>
    </w:rPr>
  </w:style>
  <w:style w:type="character" w:customStyle="1" w:styleId="29">
    <w:name w:val="标题 1 字符"/>
    <w:basedOn w:val="21"/>
    <w:link w:val="2"/>
    <w:qFormat/>
    <w:uiPriority w:val="9"/>
    <w:rPr>
      <w:rFonts w:eastAsia="仿宋_GB2312"/>
      <w:b/>
      <w:bCs/>
      <w:kern w:val="44"/>
      <w:sz w:val="36"/>
      <w:szCs w:val="44"/>
    </w:rPr>
  </w:style>
  <w:style w:type="character" w:customStyle="1" w:styleId="30">
    <w:name w:val="页眉 字符"/>
    <w:basedOn w:val="21"/>
    <w:link w:val="13"/>
    <w:qFormat/>
    <w:uiPriority w:val="99"/>
    <w:rPr>
      <w:sz w:val="18"/>
      <w:szCs w:val="18"/>
    </w:rPr>
  </w:style>
  <w:style w:type="character" w:customStyle="1" w:styleId="31">
    <w:name w:val="页脚 字符"/>
    <w:basedOn w:val="21"/>
    <w:link w:val="12"/>
    <w:qFormat/>
    <w:uiPriority w:val="99"/>
    <w:rPr>
      <w:sz w:val="18"/>
      <w:szCs w:val="18"/>
    </w:rPr>
  </w:style>
  <w:style w:type="paragraph" w:styleId="32">
    <w:name w:val="List Paragraph"/>
    <w:basedOn w:val="1"/>
    <w:qFormat/>
    <w:uiPriority w:val="34"/>
    <w:pPr>
      <w:ind w:firstLine="420" w:firstLineChars="200"/>
    </w:pPr>
  </w:style>
  <w:style w:type="character" w:customStyle="1" w:styleId="33">
    <w:name w:val="文档结构图 字符"/>
    <w:basedOn w:val="21"/>
    <w:link w:val="6"/>
    <w:semiHidden/>
    <w:qFormat/>
    <w:uiPriority w:val="99"/>
    <w:rPr>
      <w:rFonts w:ascii="宋体" w:eastAsia="宋体"/>
      <w:sz w:val="18"/>
      <w:szCs w:val="18"/>
    </w:rPr>
  </w:style>
  <w:style w:type="paragraph" w:customStyle="1" w:styleId="34">
    <w:name w:val="Table Text"/>
    <w:basedOn w:val="1"/>
    <w:semiHidden/>
    <w:qFormat/>
    <w:uiPriority w:val="0"/>
    <w:rPr>
      <w:rFonts w:ascii="宋体" w:hAnsi="宋体" w:eastAsia="宋体" w:cs="宋体"/>
      <w:sz w:val="21"/>
      <w:szCs w:val="21"/>
      <w:lang w:eastAsia="en-US"/>
    </w:rPr>
  </w:style>
  <w:style w:type="table" w:customStyle="1" w:styleId="35">
    <w:name w:val="Table Normal"/>
    <w:basedOn w:val="19"/>
    <w:semiHidden/>
    <w:unhideWhenUsed/>
    <w:qFormat/>
    <w:uiPriority w:val="0"/>
    <w:tblPr>
      <w:tblCellMar>
        <w:left w:w="0" w:type="dxa"/>
        <w:right w:w="0" w:type="dxa"/>
      </w:tblCellMar>
    </w:tblPr>
  </w:style>
  <w:style w:type="paragraph" w:customStyle="1" w:styleId="36">
    <w:name w:val="专栏标题"/>
    <w:basedOn w:val="1"/>
    <w:qFormat/>
    <w:uiPriority w:val="0"/>
    <w:pPr>
      <w:widowControl/>
      <w:kinsoku w:val="0"/>
      <w:autoSpaceDE w:val="0"/>
      <w:autoSpaceDN w:val="0"/>
      <w:adjustRightInd w:val="0"/>
      <w:snapToGrid w:val="0"/>
      <w:spacing w:line="210" w:lineRule="auto"/>
      <w:jc w:val="center"/>
      <w:textAlignment w:val="baseline"/>
    </w:pPr>
    <w:rPr>
      <w:rFonts w:ascii="Times New Roman" w:hAnsi="Times New Roman" w:eastAsia="黑体" w:cs="Times New Roman"/>
      <w:spacing w:val="-1"/>
      <w:sz w:val="28"/>
      <w:szCs w:val="28"/>
    </w:rPr>
  </w:style>
  <w:style w:type="paragraph" w:customStyle="1" w:styleId="37">
    <w:name w:val="专栏正文"/>
    <w:basedOn w:val="1"/>
    <w:qFormat/>
    <w:uiPriority w:val="0"/>
    <w:pPr>
      <w:widowControl/>
      <w:kinsoku w:val="0"/>
      <w:adjustRightInd w:val="0"/>
      <w:snapToGrid w:val="0"/>
      <w:spacing w:line="360" w:lineRule="auto"/>
      <w:textAlignment w:val="baseline"/>
    </w:pPr>
    <w:rPr>
      <w:rFonts w:ascii="Times New Roman" w:hAnsi="Times New Roman" w:eastAsia="宋体" w:cs="Times New Roman"/>
      <w:spacing w:val="-4"/>
      <w:sz w:val="21"/>
      <w:szCs w:val="21"/>
      <w:lang w:eastAsia="en-US"/>
    </w:rPr>
  </w:style>
  <w:style w:type="paragraph" w:customStyle="1" w:styleId="38">
    <w:name w:val="大标题"/>
    <w:basedOn w:val="18"/>
    <w:next w:val="2"/>
    <w:qFormat/>
    <w:uiPriority w:val="0"/>
    <w:pPr>
      <w:spacing w:beforeLines="100" w:afterLines="100" w:line="600" w:lineRule="exact"/>
    </w:pPr>
    <w:rPr>
      <w:rFonts w:hint="eastAsia" w:ascii="Times New Roman" w:hAnsi="Times New Roman" w:eastAsia="方正小标宋_GBK" w:cs="Times New Roman"/>
      <w:b w:val="0"/>
      <w:sz w:val="44"/>
      <w:szCs w:val="44"/>
    </w:rPr>
  </w:style>
  <w:style w:type="paragraph" w:customStyle="1" w:styleId="39">
    <w:name w:val="段"/>
    <w:next w:val="1"/>
    <w:qFormat/>
    <w:uiPriority w:val="0"/>
    <w:pPr>
      <w:autoSpaceDE w:val="0"/>
      <w:autoSpaceDN w:val="0"/>
      <w:jc w:val="both"/>
    </w:pPr>
    <w:rPr>
      <w:rFonts w:ascii="宋体" w:hAnsi="Times New Roman" w:eastAsia="宋体" w:cs="宋体"/>
      <w:sz w:val="21"/>
      <w:szCs w:val="21"/>
      <w:lang w:val="en-US" w:eastAsia="zh-CN" w:bidi="ar-SA"/>
    </w:rPr>
  </w:style>
  <w:style w:type="paragraph" w:customStyle="1" w:styleId="40">
    <w:name w:val="表格样式"/>
    <w:basedOn w:val="15"/>
    <w:qFormat/>
    <w:uiPriority w:val="0"/>
    <w:rPr>
      <w:rFonts w:ascii="方正仿宋_GB2312" w:hAnsi="方正仿宋_GB2312" w:cs="方正仿宋_GB2312"/>
      <w:sz w:val="24"/>
      <w:szCs w:val="32"/>
    </w:rPr>
  </w:style>
  <w:style w:type="paragraph" w:customStyle="1" w:styleId="41">
    <w:name w:val="修订1"/>
    <w:hidden/>
    <w:unhideWhenUsed/>
    <w:qFormat/>
    <w:uiPriority w:val="99"/>
    <w:rPr>
      <w:rFonts w:asciiTheme="minorHAnsi" w:hAnsiTheme="minorHAnsi" w:eastAsiaTheme="minorEastAsia" w:cstheme="minorBidi"/>
      <w:kern w:val="2"/>
      <w:sz w:val="22"/>
      <w:szCs w:val="24"/>
      <w:lang w:val="en-US" w:eastAsia="zh-CN" w:bidi="ar-SA"/>
    </w:rPr>
  </w:style>
  <w:style w:type="character" w:customStyle="1" w:styleId="42">
    <w:name w:val="未处理的提及1"/>
    <w:basedOn w:val="21"/>
    <w:semiHidden/>
    <w:unhideWhenUsed/>
    <w:qFormat/>
    <w:uiPriority w:val="99"/>
    <w:rPr>
      <w:color w:val="605E5C"/>
      <w:shd w:val="clear" w:color="auto" w:fill="E1DFDD"/>
    </w:rPr>
  </w:style>
  <w:style w:type="character" w:customStyle="1" w:styleId="43">
    <w:name w:val="批注框文本 字符"/>
    <w:basedOn w:val="21"/>
    <w:link w:val="11"/>
    <w:semiHidden/>
    <w:qFormat/>
    <w:uiPriority w:val="99"/>
    <w:rPr>
      <w:rFonts w:asciiTheme="minorHAnsi" w:hAnsiTheme="minorHAnsi" w:eastAsiaTheme="minorEastAsia" w:cstheme="minorBidi"/>
      <w:kern w:val="2"/>
      <w:sz w:val="18"/>
      <w:szCs w:val="18"/>
    </w:rPr>
  </w:style>
  <w:style w:type="paragraph" w:customStyle="1" w:styleId="44">
    <w:name w:val="Revision"/>
    <w:hidden/>
    <w:unhideWhenUsed/>
    <w:qFormat/>
    <w:uiPriority w:val="99"/>
    <w:rPr>
      <w:rFonts w:asciiTheme="minorHAnsi" w:hAnsiTheme="minorHAnsi" w:eastAsiaTheme="minorEastAsia" w:cstheme="minorBidi"/>
      <w:kern w:val="2"/>
      <w:sz w:val="22"/>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3.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xmlns="http://schemas.wps.cn/vas-ai-hub/contract-review">
    <reviewItem xmlns="http://schemas.wps.cn/vas-ai-hub/contract-review">
      <errorID xmlns="http://schemas.wps.cn/vas-ai-hub/contract-review">df4ea6eb-d193-4349-be16-4dbc671c76f4</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636F4216</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c3885ff8-6bf2-49d5-bbf4-bd978a8d7d54</errorID>
      <errorWord xmlns="http://schemas.wps.cn/vas-ai-hub/contract-review">II型</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Ⅱ型</item>
      </candidateList>
      <explain xmlns="http://schemas.wps.cn/vas-ai-hub/contract-review"/>
      <paraID xmlns="http://schemas.wps.cn/vas-ai-hub/contract-review">449716E0</paraID>
      <start xmlns="http://schemas.wps.cn/vas-ai-hub/contract-review">14</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e8134dac-f3db-421e-b237-0a1907078178</errorID>
      <errorWord xmlns="http://schemas.wps.cn/vas-ai-hub/contract-review">看戏</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公文中禁止出现该词语</explain>
      <paraID xmlns="http://schemas.wps.cn/vas-ai-hub/contract-review">3DEE1155</paraID>
      <start xmlns="http://schemas.wps.cn/vas-ai-hub/contract-review">318</start>
      <end xmlns="http://schemas.wps.cn/vas-ai-hub/contract-review">320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b67f1b9e-3747-4174-9a8c-6ea43b736c87</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标题文本后不使用标点符号。</explain>
      <paraID xmlns="http://schemas.wps.cn/vas-ai-hub/contract-review">48DA615A</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3690b141-c03e-41c9-835b-14c5845a2235</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标题文本后不使用标点符号。</explain>
      <paraID xmlns="http://schemas.wps.cn/vas-ai-hub/contract-review">7CD58D63</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fc5072d4-0139-48f9-96a2-a48097213dc6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7CD58D63</paraID>
      <start xmlns="http://schemas.wps.cn/vas-ai-hub/contract-review">169</start>
      <end xmlns="http://schemas.wps.cn/vas-ai-hub/contract-review">170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debb7ced-2c23-41f1-8d63-a2d93c4d619e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7CD58D63</paraID>
      <start xmlns="http://schemas.wps.cn/vas-ai-hub/contract-review">173</start>
      <end xmlns="http://schemas.wps.cn/vas-ai-hub/contract-review">174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6c48898d-2d08-4a04-92d2-251cb3c2a9b6</errorID>
      <errorWord xmlns="http://schemas.wps.cn/vas-ai-hub/contract-review">科技成果孵化</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科技成果转化</item>
      </candidateList>
      <explain xmlns="http://schemas.wps.cn/vas-ai-hub/contract-review">词汇“科技成果转化”在特定场景下为固定表述形式，请确认此处的“科技成果孵化”是否存在不当。</explain>
      <paraID xmlns="http://schemas.wps.cn/vas-ai-hub/contract-review">7CD58D63</paraID>
      <start xmlns="http://schemas.wps.cn/vas-ai-hub/contract-review">180</start>
      <end xmlns="http://schemas.wps.cn/vas-ai-hub/contract-review">186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8ad09242-7a82-4566-b3d0-ce4c44cf230b</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标题文本后不使用标点符号。</explain>
      <paraID xmlns="http://schemas.wps.cn/vas-ai-hub/contract-review">279E0B0C</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176c6eaa-6c7e-4e3f-b332-b4178ca34265</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标题文本后不使用标点符号。</explain>
      <paraID xmlns="http://schemas.wps.cn/vas-ai-hub/contract-review">751A9D67</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b8f25000-0f5c-4ca5-a986-7b5a9986decf</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标题文本后不使用标点符号。</explain>
      <paraID xmlns="http://schemas.wps.cn/vas-ai-hub/contract-review">191574A7</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8891bc0c-d4b3-4eb3-80a2-60988b5da0b2</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标题文本后不使用标点符号。</explain>
      <paraID xmlns="http://schemas.wps.cn/vas-ai-hub/contract-review">6728E470</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189898a0-419f-4830-87cb-56533dbb30d2</errorID>
      <errorWord xmlns="http://schemas.wps.cn/vas-ai-hub/contract-review">&gt;</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
      <paraID xmlns="http://schemas.wps.cn/vas-ai-hub/contract-review">6DDBFCF8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703e15e7-8caa-4252-bf59-6273b67ea4a7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55D1C0FE</paraID>
      <start xmlns="http://schemas.wps.cn/vas-ai-hub/contract-review">259</start>
      <end xmlns="http://schemas.wps.cn/vas-ai-hub/contract-review">260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231a5953-3f8b-44fc-b4d7-8f8f6d04ab13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55D1C0FE</paraID>
      <start xmlns="http://schemas.wps.cn/vas-ai-hub/contract-review">263</start>
      <end xmlns="http://schemas.wps.cn/vas-ai-hub/contract-review">264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5753ecff-ea47-4c48-bbc9-2fed1a31d531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55D1C0FE</paraID>
      <start xmlns="http://schemas.wps.cn/vas-ai-hub/contract-review">266</start>
      <end xmlns="http://schemas.wps.cn/vas-ai-hub/contract-review">267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e38119ae-e5d3-43c9-9a52-6624b36f40de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55D1C0FE</paraID>
      <start xmlns="http://schemas.wps.cn/vas-ai-hub/contract-review">269</start>
      <end xmlns="http://schemas.wps.cn/vas-ai-hub/contract-review">270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0841ef70-37e9-4f40-9ede-a2ac7bcfe54b</errorID>
      <errorWord xmlns="http://schemas.wps.cn/vas-ai-hub/contract-review">MM</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公文中禁止出现该词语</explain>
      <paraID xmlns="http://schemas.wps.cn/vas-ai-hub/contract-review">1837F087</paraID>
      <start xmlns="http://schemas.wps.cn/vas-ai-hub/contract-review">26</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19db8966-6f20-4ee7-9a97-92f4ce54adb0</errorID>
      <errorWord xmlns="http://schemas.wps.cn/vas-ai-hub/contract-review">粘合</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黏合</item>
      </candidateList>
      <explain xmlns="http://schemas.wps.cn/vas-ai-hub/contract-review">词汇[粘合]为不规范表述或旧称，其规范书面表述为[黏合]。</explain>
      <paraID xmlns="http://schemas.wps.cn/vas-ai-hub/contract-review">4FBBE4CA</paraID>
      <start xmlns="http://schemas.wps.cn/vas-ai-hub/contract-review">31</start>
      <end xmlns="http://schemas.wps.cn/vas-ai-hub/contract-review">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76a924b1-8464-467a-8d9b-cb319f2d2f99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39F789B1</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9d3b761c-7abe-407f-9536-471de84ba76c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39F789B1</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14744f9d-83e1-43cb-a567-a9cbb223f573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686A25D0</paraID>
      <start xmlns="http://schemas.wps.cn/vas-ai-hub/contract-review">37</start>
      <end xmlns="http://schemas.wps.cn/vas-ai-hub/contract-review">38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4d207196-daa0-4134-a83e-2a6889beb125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686A25D0</paraID>
      <start xmlns="http://schemas.wps.cn/vas-ai-hub/contract-review">42</start>
      <end xmlns="http://schemas.wps.cn/vas-ai-hub/contract-review">43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b3b37247-b2a1-4dae-817b-c808933a92dc</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4F8B6B9D</paraID>
      <start xmlns="http://schemas.wps.cn/vas-ai-hub/contract-review">35</start>
      <end xmlns="http://schemas.wps.cn/vas-ai-hub/contract-review">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c92f34df-32b1-4bbb-a9d7-9699ae650e52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4F8B6B9D</paraID>
      <start xmlns="http://schemas.wps.cn/vas-ai-hub/contract-review">105</start>
      <end xmlns="http://schemas.wps.cn/vas-ai-hub/contract-review">106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51dbde97-4575-41de-91fe-83bb650415fd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4F8B6B9D</paraID>
      <start xmlns="http://schemas.wps.cn/vas-ai-hub/contract-review">108</start>
      <end xmlns="http://schemas.wps.cn/vas-ai-hub/contract-review">109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2194f77e-6654-4578-8a1e-25c5f5018ede</errorID>
      <errorWord xmlns="http://schemas.wps.cn/vas-ai-hub/contract-review">医学植</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医学</item>
      </candidateList>
      <explain xmlns="http://schemas.wps.cn/vas-ai-hub/contract-review"/>
      <paraID xmlns="http://schemas.wps.cn/vas-ai-hub/contract-review">5F3E339A</paraID>
      <start xmlns="http://schemas.wps.cn/vas-ai-hub/contract-review">261</start>
      <end xmlns="http://schemas.wps.cn/vas-ai-hub/contract-review">264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241809d9-b00e-42c2-b2fa-eabbbc8cfa0e</errorID>
      <errorWord xmlns="http://schemas.wps.cn/vas-ai-hub/contract-review">好物馆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博物馆</item>
      </candidateList>
      <explain xmlns="http://schemas.wps.cn/vas-ai-hub/contract-review"/>
      <paraID xmlns="http://schemas.wps.cn/vas-ai-hub/contract-review">2B415DDF</paraID>
      <start xmlns="http://schemas.wps.cn/vas-ai-hub/contract-review">211</start>
      <end xmlns="http://schemas.wps.cn/vas-ai-hub/contract-review">214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a7926c81-1259-4e28-bf01-3ab0fbca73c0</errorID>
      <errorWord xmlns="http://schemas.wps.cn/vas-ai-hub/contract-review">双11</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公文中禁止出现该词语</explain>
      <paraID xmlns="http://schemas.wps.cn/vas-ai-hub/contract-review">12D346ED</paraID>
      <start xmlns="http://schemas.wps.cn/vas-ai-hub/contract-review">18</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5e185de1-6fca-446b-8647-5453c202539e</errorID>
      <errorWord xmlns="http://schemas.wps.cn/vas-ai-hub/contract-review">等到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等待</item>
      </candidateList>
      <explain xmlns="http://schemas.wps.cn/vas-ai-hub/contract-review"/>
      <paraID xmlns="http://schemas.wps.cn/vas-ai-hub/contract-review">2A0C5B35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d8244c7a-3a46-411e-bc59-8ea470482fa3</errorID>
      <errorWord xmlns="http://schemas.wps.cn/vas-ai-hub/contract-review">、就</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，就</item>
      </candidateList>
      <explain xmlns="http://schemas.wps.cn/vas-ai-hub/contract-review">连接词前后不宜使用顿号，建议使用逗号。</explain>
      <paraID xmlns="http://schemas.wps.cn/vas-ai-hub/contract-review"> F502BB4</paraID>
      <start xmlns="http://schemas.wps.cn/vas-ai-hub/contract-review">212</start>
      <end xmlns="http://schemas.wps.cn/vas-ai-hub/contract-review">214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e0fa7c79-0c29-422c-ba9d-01652f4df069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11A94547</paraID>
      <start xmlns="http://schemas.wps.cn/vas-ai-hub/contract-review">44</start>
      <end xmlns="http://schemas.wps.cn/vas-ai-hub/contract-review">45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5d7e765a-d81a-4d3a-bf10-e2a2dca7da3b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11A94547</paraID>
      <start xmlns="http://schemas.wps.cn/vas-ai-hub/contract-review">47</start>
      <end xmlns="http://schemas.wps.cn/vas-ai-hub/contract-review">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aee707c1-34bc-46f9-afbd-319fdc138f87</errorID>
      <errorWord xmlns="http://schemas.wps.cn/vas-ai-hub/contract-review">中科院</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中国科学院</item>
      </candidateList>
      <explain xmlns="http://schemas.wps.cn/vas-ai-hub/contract-review"/>
      <paraID xmlns="http://schemas.wps.cn/vas-ai-hub/contract-review">3AD97762</paraID>
      <start xmlns="http://schemas.wps.cn/vas-ai-hub/contract-review">25</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bac06745-ec8e-4c1e-a1e2-6aed306daab3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6D881894</paraID>
      <start xmlns="http://schemas.wps.cn/vas-ai-hub/contract-review">54</start>
      <end xmlns="http://schemas.wps.cn/vas-ai-hub/contract-review">55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11933a8b-9918-474c-8f2b-7c3a15616719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6D881894</paraID>
      <start xmlns="http://schemas.wps.cn/vas-ai-hub/contract-review">59</start>
      <end xmlns="http://schemas.wps.cn/vas-ai-hub/contract-review">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fa27fbdc-225d-4f2d-89ac-9fd368d395d9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1923D111</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3a566d22-8ae1-4133-ae1a-8d09775005b8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1923D111</paraID>
      <start xmlns="http://schemas.wps.cn/vas-ai-hub/contract-review">13</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6d1df394-39b3-4e15-8fe6-5cfdeb46e4e3</errorID>
      <errorWord xmlns="http://schemas.wps.cn/vas-ai-hub/contract-review">中科院</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中国科学院</item>
      </candidateList>
      <explain xmlns="http://schemas.wps.cn/vas-ai-hub/contract-review"/>
      <paraID xmlns="http://schemas.wps.cn/vas-ai-hub/contract-review"> E1830DA</paraID>
      <start xmlns="http://schemas.wps.cn/vas-ai-hub/contract-review">118</start>
      <end xmlns="http://schemas.wps.cn/vas-ai-hub/contract-review">121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21fd5696-ed0e-4d8b-824d-3efce2b2b50b</errorID>
      <errorWord xmlns="http://schemas.wps.cn/vas-ai-hub/contract-review">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科</item>
      </candidateList>
      <explain xmlns="http://schemas.wps.cn/vas-ai-hub/contract-review"/>
      <paraID xmlns="http://schemas.wps.cn/vas-ai-hub/contract-review">63C41D34</paraID>
      <start xmlns="http://schemas.wps.cn/vas-ai-hub/contract-review">14</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6f8a462a-7f16-4289-9750-ff1cb230ee4b</errorID>
      <errorWord xmlns="http://schemas.wps.cn/vas-ai-hub/contract-review">二次元</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公文中禁止出现该词语</explain>
      <paraID xmlns="http://schemas.wps.cn/vas-ai-hub/contract-review">16219C6D</paraID>
      <start xmlns="http://schemas.wps.cn/vas-ai-hub/contract-review">213</start>
      <end xmlns="http://schemas.wps.cn/vas-ai-hub/contract-review">216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475c5fd0-86be-47ca-86a3-3623b7aeb115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227AC4CF</paraID>
      <start xmlns="http://schemas.wps.cn/vas-ai-hub/contract-review">151</start>
      <end xmlns="http://schemas.wps.cn/vas-ai-hub/contract-review">152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d84abdfc-41d0-4865-aeac-a09dd1fbf9a6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6DCB9CD4</paraID>
      <start xmlns="http://schemas.wps.cn/vas-ai-hub/contract-review">20</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2496508c-94cb-4ab5-a371-b7dd1c4c9573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6DCB9CD4</paraID>
      <start xmlns="http://schemas.wps.cn/vas-ai-hub/contract-review">83</start>
      <end xmlns="http://schemas.wps.cn/vas-ai-hub/contract-review">84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e5e446a4-a061-4ce6-aa07-aabb3e14253f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6DCB9CD4</paraID>
      <start xmlns="http://schemas.wps.cn/vas-ai-hub/contract-review">95</start>
      <end xmlns="http://schemas.wps.cn/vas-ai-hub/contract-review">96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a973c8fe-93db-4340-97fa-371981f0e41a</errorID>
      <errorWord xmlns="http://schemas.wps.cn/vas-ai-hub/contract-review">双12</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公文中禁止出现该词语</explain>
      <paraID xmlns="http://schemas.wps.cn/vas-ai-hub/contract-review">39D65F39</paraID>
      <start xmlns="http://schemas.wps.cn/vas-ai-hub/contract-review">22</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ba5ed91e-5cc2-4009-af98-1fb94b195a81</errorID>
      <errorWord xmlns="http://schemas.wps.cn/vas-ai-hub/contract-review">行政管理体制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行政体制</item>
      </candidateList>
      <explain xmlns="http://schemas.wps.cn/vas-ai-hub/contract-review"/>
      <paraID xmlns="http://schemas.wps.cn/vas-ai-hub/contract-review">4C977311</paraID>
      <start xmlns="http://schemas.wps.cn/vas-ai-hub/contract-review">53</start>
      <end xmlns="http://schemas.wps.cn/vas-ai-hub/contract-review">59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29d5db8a-1ef0-46e8-a29a-f8cb86d1f6c4</errorID>
      <errorWord xmlns="http://schemas.wps.cn/vas-ai-hub/contract-review">内卷</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公文中禁止出现该词语</explain>
      <paraID xmlns="http://schemas.wps.cn/vas-ai-hub/contract-review"> C28FC63</paraID>
      <start xmlns="http://schemas.wps.cn/vas-ai-hub/contract-review">175</start>
      <end xmlns="http://schemas.wps.cn/vas-ai-hub/contract-review">177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cd0e00c3-d5cf-401a-8d26-f9dc99c87a06</errorID>
      <errorWord xmlns="http://schemas.wps.cn/vas-ai-hub/contract-review">增强</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强化</item>
      </candidateList>
      <explain xmlns="http://schemas.wps.cn/vas-ai-hub/contract-review">“增强～管理”搭配不当，建议修改为“强化～管理”。</explain>
      <paraID xmlns="http://schemas.wps.cn/vas-ai-hub/contract-review">17A05F1B</paraID>
      <start xmlns="http://schemas.wps.cn/vas-ai-hub/contract-review">12</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f2364df9-4549-4cca-9816-c02bd14677f6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3DF58193</paraID>
      <start xmlns="http://schemas.wps.cn/vas-ai-hub/contract-review">119</start>
      <end xmlns="http://schemas.wps.cn/vas-ai-hub/contract-review">120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44df4489-8078-4356-8483-404668c2b112</errorID>
      <errorWord xmlns="http://schemas.wps.cn/vas-ai-hub/contract-review">土</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土壤</item>
      </candidateList>
      <explain xmlns="http://schemas.wps.cn/vas-ai-hub/contract-review"/>
      <paraID xmlns="http://schemas.wps.cn/vas-ai-hub/contract-review">282F0230</paraID>
      <start xmlns="http://schemas.wps.cn/vas-ai-hub/contract-review">167</start>
      <end xmlns="http://schemas.wps.cn/vas-ai-hub/contract-review">168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c9061edd-bd85-40af-8303-38decad0d89f</errorID>
      <errorWord xmlns="http://schemas.wps.cn/vas-ai-hub/contract-review">根</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本</item>
      </candidateList>
      <explain xmlns="http://schemas.wps.cn/vas-ai-hub/contract-review">❶（～儿）〈名〉本子❶：书～｜账～儿。❷版本：刻～｜抄～｜稿～。❸（～儿）演出的底本：话～｜剧～。❹封建时代指奏章：修～（拟奏章）｜奏上一～。❺（～儿）〈量〉a）用于书籍簿册：五～书｜两～儿账。b）用于戏：头～《西游记》。c）用于一定长度的影片：这部电影是十四～。</explain>
      <paraID xmlns="http://schemas.wps.cn/vas-ai-hub/contract-review">332DC685</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1dbe54e6-2814-4e8a-b509-b0022955f777</errorID>
      <errorWord xmlns="http://schemas.wps.cn/vas-ai-hub/contract-review">中国-东盟</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中国—东盟</item>
      </candidateList>
      <explain xmlns="http://schemas.wps.cn/vas-ai-hub/contract-review"/>
      <paraID xmlns="http://schemas.wps.cn/vas-ai-hub/contract-review">7E25A84B</paraID>
      <start xmlns="http://schemas.wps.cn/vas-ai-hub/contract-review">203</start>
      <end xmlns="http://schemas.wps.cn/vas-ai-hub/contract-review">208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9cf0215f-55c0-40c6-b126-f7ca950d73ff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777354D5</paraID>
      <start xmlns="http://schemas.wps.cn/vas-ai-hub/contract-review">45</start>
      <end xmlns="http://schemas.wps.cn/vas-ai-hub/contract-review">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2034fb30-3ac3-407d-b8bc-64ec5490a477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777354D5</paraID>
      <start xmlns="http://schemas.wps.cn/vas-ai-hub/contract-review">53</start>
      <end xmlns="http://schemas.wps.cn/vas-ai-hub/contract-review">54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6c8564b2-55c1-4da2-bfb8-fd117b3eaee4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777354D5</paraID>
      <start xmlns="http://schemas.wps.cn/vas-ai-hub/contract-review">59</start>
      <end xmlns="http://schemas.wps.cn/vas-ai-hub/contract-review">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917195ec-3eca-46e9-ad0c-2d588b277042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1E8A556F</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5867a084-0e38-4838-abcc-8acb7e9dca3d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1E8A556F</paraID>
      <start xmlns="http://schemas.wps.cn/vas-ai-hub/contract-review">30</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9a0a9e21-0a41-4c50-8793-445b44d56d7e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1E8A556F</paraID>
      <start xmlns="http://schemas.wps.cn/vas-ai-hub/contract-review">34</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288bbe26-1f51-44e3-9088-2be00cdc8738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1E8A556F</paraID>
      <start xmlns="http://schemas.wps.cn/vas-ai-hub/contract-review">39</start>
      <end xmlns="http://schemas.wps.cn/vas-ai-hub/contract-review">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c3f115e2-959f-4a67-b155-a38f4171bd27</errorID>
      <errorWord xmlns="http://schemas.wps.cn/vas-ai-hub/contract-review">历史文化片区</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历史文化街区</item>
      </candidateList>
      <explain xmlns="http://schemas.wps.cn/vas-ai-hub/contract-review">词汇“历史文化街区”在特定场景下为固定表述形式，请确认此处的“历史文化片区”是否存在不当。</explain>
      <paraID xmlns="http://schemas.wps.cn/vas-ai-hub/contract-review">67604E86</paraID>
      <start xmlns="http://schemas.wps.cn/vas-ai-hub/contract-review">52</start>
      <end xmlns="http://schemas.wps.cn/vas-ai-hub/contract-review">58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2085052b-b854-4b89-82cc-d5c7a7f1e265</errorID>
      <errorWord xmlns="http://schemas.wps.cn/vas-ai-hub/contract-review">现代基础设施体系</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现代化基础设施体系</item>
      </candidateList>
      <explain xmlns="http://schemas.wps.cn/vas-ai-hub/contract-review">词汇“现代化基础设施体系”在特定场景下为固定表述形式，请确认此处的“现代基础设施体系”是否存在不当。</explain>
      <paraID xmlns="http://schemas.wps.cn/vas-ai-hub/contract-review">63C1B301</paraID>
      <start xmlns="http://schemas.wps.cn/vas-ai-hub/contract-review">6</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68f5f0fa-25ea-4ed4-addf-4369eaae906a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39A18157</paraID>
      <start xmlns="http://schemas.wps.cn/vas-ai-hub/contract-review">130</start>
      <end xmlns="http://schemas.wps.cn/vas-ai-hub/contract-review">131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b048657f-b465-46ba-8605-16e6365aef5e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39A18157</paraID>
      <start xmlns="http://schemas.wps.cn/vas-ai-hub/contract-review">133</start>
      <end xmlns="http://schemas.wps.cn/vas-ai-hub/contract-review">134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447c6136-1559-4ea0-befe-e4baca07af77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53253DF9</paraID>
      <start xmlns="http://schemas.wps.cn/vas-ai-hub/contract-review">36</start>
      <end xmlns="http://schemas.wps.cn/vas-ai-hub/contract-review">37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5165f394-52e3-4e16-8a35-182a454070d4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53253DF9</paraID>
      <start xmlns="http://schemas.wps.cn/vas-ai-hub/contract-review">41</start>
      <end xmlns="http://schemas.wps.cn/vas-ai-hub/contract-review">42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e6b8875c-f906-48dd-af5a-9c47588d7280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53253DF9</paraID>
      <start xmlns="http://schemas.wps.cn/vas-ai-hub/contract-review">46</start>
      <end xmlns="http://schemas.wps.cn/vas-ai-hub/contract-review">47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f0c8165f-7586-41cd-8226-14ef32eda479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476A1235</paraID>
      <start xmlns="http://schemas.wps.cn/vas-ai-hub/contract-review">32</start>
      <end xmlns="http://schemas.wps.cn/vas-ai-hub/contract-review">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6f191172-8c7b-40ef-85b6-34e0cfb1c47f</errorID>
      <errorWord xmlns="http://schemas.wps.cn/vas-ai-hub/contract-review">逐步把永久基本农田建成高标准农田</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逐步把永久基本农田全部建成高标准农田</item>
      </candidateList>
      <explain xmlns="http://schemas.wps.cn/vas-ai-hub/contract-review">词汇“逐步把永久基本农田全部建成高标准农田”在特定场景下为固定表述形式，请确认此处的“逐步把永久基本农田建成高标准农田”是否存在不当。</explain>
      <paraID xmlns="http://schemas.wps.cn/vas-ai-hub/contract-review">7F8EB1BA</paraID>
      <start xmlns="http://schemas.wps.cn/vas-ai-hub/contract-review">35</start>
      <end xmlns="http://schemas.wps.cn/vas-ai-hub/contract-review">51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b0781b94-2929-482b-a3d4-87e8a0afa21e</errorID>
      <errorWord xmlns="http://schemas.wps.cn/vas-ai-hub/contract-review">味到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味道</item>
      </candidateList>
      <explain xmlns="http://schemas.wps.cn/vas-ai-hub/contract-review"/>
      <paraID xmlns="http://schemas.wps.cn/vas-ai-hub/contract-review">20452608</paraID>
      <start xmlns="http://schemas.wps.cn/vas-ai-hub/contract-review">76</start>
      <end xmlns="http://schemas.wps.cn/vas-ai-hub/contract-review">78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a96f6608-7556-462c-b2f5-b3ce6dde40f0</errorID>
      <errorWord xmlns="http://schemas.wps.cn/vas-ai-hub/contract-review">多层次保障体系</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多层次社会保障体系</item>
      </candidateList>
      <explain xmlns="http://schemas.wps.cn/vas-ai-hub/contract-review">词汇“多层次社会保障体系”在特定场景下为固定表述形式，请确认此处的“多层次保障体系”是否存在不当。</explain>
      <paraID xmlns="http://schemas.wps.cn/vas-ai-hub/contract-review">1490441C</paraID>
      <start xmlns="http://schemas.wps.cn/vas-ai-hub/contract-review">6</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1081d997-bc44-4ccf-91ce-5412296bb9ce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60DC66F4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c5ecfeed-331e-44d9-8d49-ae199f987231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60DC66F4</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280d6127-90f4-4a2b-a6fa-892198a34613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60DC66F4</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e3a1bc0e-113c-4192-abf8-5152e2a82bfc</errorID>
      <errorWord xmlns="http://schemas.wps.cn/vas-ai-hub/contract-review">办好人民满意教育</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办好人民满意的教育</item>
      </candidateList>
      <explain xmlns="http://schemas.wps.cn/vas-ai-hub/contract-review">词汇“办好人民满意的教育”在特定场景下为固定表述形式，请确认此处的“办好人民满意教育”是否存在不当。</explain>
      <paraID xmlns="http://schemas.wps.cn/vas-ai-hub/contract-review">10E1F08F</paraID>
      <start xmlns="http://schemas.wps.cn/vas-ai-hub/contract-review">4</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f2b24508-fdd8-421a-812d-7cc1db28da83</errorID>
      <errorWord xmlns="http://schemas.wps.cn/vas-ai-hub/contract-review">建设紧密型县域医共体</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紧密型县域医共体建设</item>
      </candidateList>
      <explain xmlns="http://schemas.wps.cn/vas-ai-hub/contract-review">词汇“紧密型县域医共体建设”在特定场景下为固定表述形式，请确认此处的“建设紧密型县域医共体”是否存在不当。</explain>
      <paraID xmlns="http://schemas.wps.cn/vas-ai-hub/contract-review">23E27E17</paraID>
      <start xmlns="http://schemas.wps.cn/vas-ai-hub/contract-review">0</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c99e72b3-4830-4a4b-ac35-5ec3328ce035</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，以</item>
      </candidateList>
      <explain xmlns="http://schemas.wps.cn/vas-ai-hub/contract-review"/>
      <paraID xmlns="http://schemas.wps.cn/vas-ai-hub/contract-review">61966568</paraID>
      <start xmlns="http://schemas.wps.cn/vas-ai-hub/contract-review">20</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13303af3-58d1-476e-8ca9-44c4f592a6d3</errorID>
      <errorWord xmlns="http://schemas.wps.cn/vas-ai-hub/contract-review">硬核</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公文中禁止出现该词语</explain>
      <paraID xmlns="http://schemas.wps.cn/vas-ai-hub/contract-review">4DBBC83D</paraID>
      <start xmlns="http://schemas.wps.cn/vas-ai-hub/contract-review">62</start>
      <end xmlns="http://schemas.wps.cn/vas-ai-hub/contract-review">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d53ca56e-5d35-412f-9fa1-932a81ab9837</errorID>
      <errorWord xmlns="http://schemas.wps.cn/vas-ai-hub/contract-review">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空间</item>
      </candidateList>
      <explain xmlns="http://schemas.wps.cn/vas-ai-hub/contract-review">〈名〉物质存在的一种客观形式，由长度、宽度、高度表现出来，是物质存在的广延性和伸张性的表现：三维～。</explain>
      <paraID xmlns="http://schemas.wps.cn/vas-ai-hub/contract-review">65208936</paraID>
      <start xmlns="http://schemas.wps.cn/vas-ai-hub/contract-review">159</start>
      <end xmlns="http://schemas.wps.cn/vas-ai-hub/contract-review">160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49af76c7-7c8b-4f8e-ade4-a26594da4bbd</errorID>
      <errorWord xmlns="http://schemas.wps.cn/vas-ai-hub/contract-review">看戏</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公文中禁止出现该词语</explain>
      <paraID xmlns="http://schemas.wps.cn/vas-ai-hub/contract-review">5A26C255</paraID>
      <start xmlns="http://schemas.wps.cn/vas-ai-hub/contract-review">44</start>
      <end xmlns="http://schemas.wps.cn/vas-ai-hub/contract-review">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c2459893-0a60-47be-8e83-2f68dc03e987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726F4546</paraID>
      <start xmlns="http://schemas.wps.cn/vas-ai-hub/contract-review">144</start>
      <end xmlns="http://schemas.wps.cn/vas-ai-hub/contract-review">145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4bfc0a78-a4af-40d2-9c59-32674850c3fa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726F4546</paraID>
      <start xmlns="http://schemas.wps.cn/vas-ai-hub/contract-review">149</start>
      <end xmlns="http://schemas.wps.cn/vas-ai-hub/contract-review">150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2dcc6285-0589-4a3e-9257-ae8e27c3629b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726F4546</paraID>
      <start xmlns="http://schemas.wps.cn/vas-ai-hub/contract-review">156</start>
      <end xmlns="http://schemas.wps.cn/vas-ai-hub/contract-review">157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1777e30c-7eda-4389-952d-be2a8b8812f9</errorID>
      <errorWord xmlns="http://schemas.wps.cn/vas-ai-hub/contract-review">重大理论和实践课题</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重大理论和实践问题</item>
      </candidateList>
      <explain xmlns="http://schemas.wps.cn/vas-ai-hub/contract-review">词汇“重大理论和实践问题”在特定场景下为固定表述形式，请确认此处的“重大理论和实践课题”是否存在不当。</explain>
      <paraID xmlns="http://schemas.wps.cn/vas-ai-hub/contract-review">460635F4</paraID>
      <start xmlns="http://schemas.wps.cn/vas-ai-hub/contract-review">49</start>
      <end xmlns="http://schemas.wps.cn/vas-ai-hub/contract-review">58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ee80da21-94f0-4f8e-b5bc-a478c8243575</errorID>
      <errorWord xmlns="http://schemas.wps.cn/vas-ai-hub/contract-review">蓬朗</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蓬莱</item>
      </candidateList>
      <explain xmlns="http://schemas.wps.cn/vas-ai-hub/contract-review"/>
      <paraID xmlns="http://schemas.wps.cn/vas-ai-hub/contract-review">7325772B</paraID>
      <start xmlns="http://schemas.wps.cn/vas-ai-hub/contract-review">68</start>
      <end xmlns="http://schemas.wps.cn/vas-ai-hub/contract-review">70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80d196cc-9b8b-4c8b-afdf-e47d41893570</errorID>
      <errorWord xmlns="http://schemas.wps.cn/vas-ai-hub/contract-review">五位一体</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“五位一体”</item>
      </candidateList>
      <explain xmlns="http://schemas.wps.cn/vas-ai-hub/contract-review">注意检查当前固定表述标点是否使用规范。</explain>
      <paraID xmlns="http://schemas.wps.cn/vas-ai-hub/contract-review">3E147FE4</paraID>
      <start xmlns="http://schemas.wps.cn/vas-ai-hub/contract-review">278</start>
      <end xmlns="http://schemas.wps.cn/vas-ai-hub/contract-review">282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e02c605c-bafc-4650-b713-d135f4d0abc7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379086D2</paraID>
      <start xmlns="http://schemas.wps.cn/vas-ai-hub/contract-review">50</start>
      <end xmlns="http://schemas.wps.cn/vas-ai-hub/contract-review">51</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769DEB-FDAF-4BD6-B91C-B8B5FA63B387}">
  <ds:schemaRefs/>
</ds:datastoreItem>
</file>

<file path=customXml/itemProps3.xml><?xml version="1.0" encoding="utf-8"?>
<ds:datastoreItem xmlns:ds="http://schemas.openxmlformats.org/officeDocument/2006/customXml" ds:itemID="{2D71AFE7-EBA1-47CF-B506-CFBCA079342E}">
  <ds:schemaRefs/>
</ds:datastoreItem>
</file>

<file path=docProps/app.xml><?xml version="1.0" encoding="utf-8"?>
<Properties xmlns="http://schemas.openxmlformats.org/officeDocument/2006/extended-properties" xmlns:vt="http://schemas.openxmlformats.org/officeDocument/2006/docPropsVTypes">
  <Template>Normal</Template>
  <Pages>120</Pages>
  <Words>38165</Words>
  <Characters>38834</Characters>
  <Lines>486</Lines>
  <Paragraphs>137</Paragraphs>
  <TotalTime>34</TotalTime>
  <ScaleCrop>false</ScaleCrop>
  <LinksUpToDate>false</LinksUpToDate>
  <CharactersWithSpaces>39065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2026-03-10T01:39:00Z</dcterms:created>
  <dc:creator>admin</dc:creator>
  <cp:lastModifiedBy>荆锐</cp:lastModifiedBy>
  <cp:lastPrinted>2026-04-01T05:51:00Z</cp:lastPrinted>
  <dcterms:modified xsi:type="dcterms:W3CDTF">2026-05-11T07:10:40Z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5E8592499F43441A87A0031392BC8C9E_13</vt:lpwstr>
  </property>
  <property fmtid="{D5CDD505-2E9C-101B-9397-08002B2CF9AE}" pid="4" name="KSOTemplateDocerSaveRecord">
    <vt:lpwstr>eyJoZGlkIjoiYjdmNTc4MTlkYmY3NDNkN2EzNmNlODMxNzYxOTJlYmEiLCJ1c2VySWQiOiIyODcwMzE4MTIifQ==</vt:lpwstr>
  </property>
</Properties>
</file>