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B514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bookmarkStart w:id="0" w:name="_GoBack"/>
      <w:bookmarkEnd w:id="0"/>
      <w:r>
        <w:rPr>
          <w:rFonts w:ascii="Times New Roman" w:hAnsi="Times New Roman" w:eastAsia="仿宋_GB2312" w:cs="仿宋_GB2312"/>
          <w:i w:val="0"/>
          <w:color w:val="000000"/>
          <w:sz w:val="32"/>
          <w:szCs w:val="32"/>
          <w:bdr w:val="none" w:color="auto" w:sz="0" w:space="0"/>
        </w:rPr>
        <w:t>根据审计法及相关法律法规，区审计局对吴江区2025年度本级预算执行和其他财政收支情况进行了审计。审计结果表明，在区委、区政府的正确领导及区人大的监督指导下，全区各部门各单位坚持以习近平新时代中国特色社会主义思想为指导，深入贯彻党的二十大和二十届历次全会精神，全面落实习近平总书记对江苏、苏州工作以及对长三角一体化发展重要讲话重要指示精神，积极服务构建新发展格局，着力推动高质量发展，全力以赴促发展、惠民生、保安全、拼经济，“十四五”圆满收官，经济社会高质量发展取得新进步。</w:t>
      </w:r>
    </w:p>
    <w:p w14:paraId="08A5882A">
      <w:pPr>
        <w:pStyle w:val="2"/>
        <w:widowControl/>
        <w:numPr>
          <w:numId w:val="0"/>
        </w:numPr>
        <w:topLinePunct w:val="0"/>
        <w:ind w:left="0" w:leftChars="0" w:firstLine="640"/>
        <w:rPr>
          <w:b w:val="0"/>
          <w:bdr w:val="none" w:sz="0" w:space="0"/>
        </w:rPr>
      </w:pPr>
      <w:r>
        <w:rPr>
          <w:rFonts w:hint="eastAsia"/>
          <w:lang w:eastAsia="zh-CN"/>
        </w:rPr>
        <w:t>一、</w:t>
      </w:r>
      <w:r>
        <w:t>预算执行和决算草案审计情况</w:t>
      </w:r>
    </w:p>
    <w:p w14:paraId="09D44F2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本级预算执行和决算草案审计发现的主要问题：一是少量政府性基金结转资金未按规定补充预算稳定调节基金；二是上年结转项目中有个别项目预算执行率偏低，个别上级结转资金未按规定纳入统筹管理；三是少数国有资产股权投资账务处理不合规，个别国有资本经营收益收缴制度未及时更新。</w:t>
      </w:r>
    </w:p>
    <w:p w14:paraId="174B6901">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吴江开发区、太湖新城预算执行和决算草案审计发现的主要问题：一是部分项目预算执行率偏低；二是个别工程项目建设手续不全，未开展竣工财务决算；三是个别部门2025年未公开项目预算绩效目标。</w:t>
      </w:r>
    </w:p>
    <w:p w14:paraId="2CE38DA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区级部门预算执行和决算草案审计发现的主要问题：个别部门采购年初预算、项目预算编制不够精准；部分预算绩效指标制定时目标值设置未予细化量化。</w:t>
      </w:r>
    </w:p>
    <w:p w14:paraId="6DECFDBD">
      <w:pPr>
        <w:pStyle w:val="2"/>
        <w:widowControl/>
        <w:numPr>
          <w:numId w:val="0"/>
        </w:numPr>
        <w:topLinePunct w:val="0"/>
        <w:ind w:left="0" w:leftChars="0" w:firstLine="640"/>
        <w:rPr>
          <w:b w:val="0"/>
          <w:bdr w:val="none" w:sz="0" w:space="0"/>
        </w:rPr>
      </w:pPr>
      <w:r>
        <w:rPr>
          <w:rFonts w:hint="eastAsia"/>
          <w:lang w:eastAsia="zh-CN"/>
        </w:rPr>
        <w:t>二、</w:t>
      </w:r>
      <w:r>
        <w:t>重大政策措施贯彻落实审计情况</w:t>
      </w:r>
    </w:p>
    <w:p w14:paraId="52D35C2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体育事业发展政策落实及相关资金专题审计发现的主要问题：政策落实中个别环节不到位，存在重建设轻管理情况。</w:t>
      </w:r>
    </w:p>
    <w:p w14:paraId="4079C84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“三重一大”履行情况专题审计发现的主要问题：个别重大决策未经上会讨论，个别大额资金使用事项上会讨论程序不规范。</w:t>
      </w:r>
    </w:p>
    <w:p w14:paraId="67F359CC">
      <w:pPr>
        <w:pStyle w:val="2"/>
        <w:widowControl/>
        <w:numPr>
          <w:numId w:val="0"/>
        </w:numPr>
        <w:topLinePunct w:val="0"/>
        <w:ind w:left="0" w:leftChars="0" w:firstLine="640"/>
        <w:rPr>
          <w:b w:val="0"/>
          <w:bdr w:val="none" w:sz="0" w:space="0"/>
        </w:rPr>
      </w:pPr>
      <w:r>
        <w:rPr>
          <w:rFonts w:hint="eastAsia"/>
          <w:lang w:eastAsia="zh-CN"/>
        </w:rPr>
        <w:t>三、</w:t>
      </w:r>
      <w:r>
        <w:t>重点民生资金和项目审计情况</w:t>
      </w:r>
    </w:p>
    <w:p w14:paraId="79D74234">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居家养老服务体系专题审计发现的主要问题：个别采购项目过程不合规，对供应商监督不到位。</w:t>
      </w:r>
    </w:p>
    <w:p w14:paraId="08871BCA">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住房保障体系政策资金专项审计发现的主要问题：一是部分结算审核把关不严；二是少数资金应缴未缴维修资金专户；三是个别维修资金备案审核管理不规范。</w:t>
      </w:r>
    </w:p>
    <w:p w14:paraId="4EA2FE22">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惠农财政补贴资金“一卡通”发放情况专项审计调查发现的主要问题：未及时更新并公布本级“一卡通”财政补贴政策清单，部分补贴应纳入未纳入“一卡通”发放。</w:t>
      </w:r>
    </w:p>
    <w:p w14:paraId="19CD9F1D">
      <w:pPr>
        <w:pStyle w:val="2"/>
        <w:widowControl/>
        <w:numPr>
          <w:numId w:val="0"/>
        </w:numPr>
        <w:topLinePunct w:val="0"/>
        <w:ind w:left="0" w:leftChars="0" w:firstLine="640"/>
        <w:rPr>
          <w:b w:val="0"/>
          <w:bdr w:val="none" w:sz="0" w:space="0"/>
        </w:rPr>
      </w:pPr>
      <w:r>
        <w:rPr>
          <w:rFonts w:hint="eastAsia"/>
          <w:lang w:eastAsia="zh-CN"/>
        </w:rPr>
        <w:t>四、</w:t>
      </w:r>
      <w:r>
        <w:t>政府投资审计情况</w:t>
      </w:r>
    </w:p>
    <w:p w14:paraId="563E346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政府投资项目审计发现的主要问题：标底编制质量偏低，存在价格高计问题；合同条款不严谨，对不平衡报价制约不到位。</w:t>
      </w:r>
    </w:p>
    <w:p w14:paraId="688B6C1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政府投资项目跟踪审计发现的主要问题：一是个别合同未按招标约定内容签订；二是工程款支付不及时；三是工程项目建设滞后。</w:t>
      </w:r>
    </w:p>
    <w:p w14:paraId="61C6E387">
      <w:pPr>
        <w:pStyle w:val="2"/>
        <w:widowControl/>
        <w:numPr>
          <w:numId w:val="0"/>
        </w:numPr>
        <w:topLinePunct w:val="0"/>
        <w:ind w:left="0" w:leftChars="0" w:firstLine="640"/>
        <w:rPr>
          <w:b w:val="0"/>
          <w:bdr w:val="none" w:sz="0" w:space="0"/>
        </w:rPr>
      </w:pPr>
      <w:r>
        <w:rPr>
          <w:rFonts w:hint="eastAsia"/>
          <w:lang w:eastAsia="zh-CN"/>
        </w:rPr>
        <w:t>五、</w:t>
      </w:r>
      <w:r>
        <w:t>国有资产审计情况</w:t>
      </w:r>
    </w:p>
    <w:p w14:paraId="26F8284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行政事业性国有资产审计发现的主要问题：一是公车报废未经财政部门审批；二是未对资产建立领用台账；三是超数量或超单价配置办公设备。</w:t>
      </w:r>
    </w:p>
    <w:p w14:paraId="1E0A425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国有企业国有资产审计发现的主要问题：部分下属企业未建立债务风险应急处置预案，个别采购事项的决策与执行不一致。</w:t>
      </w:r>
    </w:p>
    <w:p w14:paraId="556AB894">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i w:val="0"/>
          <w:color w:val="000000"/>
          <w:sz w:val="32"/>
          <w:szCs w:val="32"/>
        </w:rPr>
      </w:pPr>
      <w:r>
        <w:rPr>
          <w:rFonts w:ascii="Times New Roman" w:hAnsi="Times New Roman" w:eastAsia="仿宋_GB2312" w:cs="仿宋_GB2312"/>
          <w:i w:val="0"/>
          <w:color w:val="000000"/>
          <w:sz w:val="32"/>
          <w:szCs w:val="32"/>
          <w:bdr w:val="none" w:color="auto" w:sz="0" w:space="0"/>
        </w:rPr>
        <w:t>国有资源资产审计发现的主要问题：个别乡镇未对生态公益林签订管护合同，部分水利工程未设立农民工工资专户。</w:t>
      </w:r>
    </w:p>
    <w:p w14:paraId="32FF16B4">
      <w:pPr>
        <w:pStyle w:val="2"/>
        <w:widowControl/>
        <w:numPr>
          <w:numId w:val="0"/>
        </w:numPr>
        <w:topLinePunct w:val="0"/>
        <w:ind w:left="0" w:leftChars="0" w:firstLine="640"/>
        <w:rPr>
          <w:b w:val="0"/>
          <w:bdr w:val="none" w:sz="0" w:space="0"/>
        </w:rPr>
      </w:pPr>
      <w:r>
        <w:rPr>
          <w:rFonts w:hint="eastAsia"/>
          <w:lang w:eastAsia="zh-CN"/>
        </w:rPr>
        <w:t>六、</w:t>
      </w:r>
      <w:r>
        <w:t>审计建议</w:t>
      </w:r>
    </w:p>
    <w:p w14:paraId="4800050C">
      <w:pPr>
        <w:pStyle w:val="11"/>
        <w:widowControl/>
        <w:numPr>
          <w:numId w:val="0"/>
        </w:numPr>
        <w:pBdr>
          <w:top w:val="none" w:color="auto" w:sz="0" w:space="0"/>
          <w:left w:val="none" w:color="auto" w:sz="0" w:space="0"/>
          <w:bottom w:val="none" w:color="auto" w:sz="0" w:space="0"/>
          <w:right w:val="none" w:color="auto" w:sz="0" w:space="0"/>
        </w:pBdr>
        <w:topLinePunct w:val="0"/>
        <w:ind w:left="0" w:leftChars="0" w:firstLine="616"/>
        <w:rPr>
          <w:rFonts w:hint="eastAsia" w:ascii="楷体_GB2312" w:hAnsi="楷体_GB2312" w:eastAsia="楷体_GB2312" w:cs="楷体_GB2312"/>
          <w:b w:val="0"/>
          <w:i w:val="0"/>
          <w:color w:val="auto"/>
          <w:sz w:val="32"/>
          <w:szCs w:val="32"/>
          <w:bdr w:val="none" w:sz="0" w:space="0"/>
        </w:rPr>
      </w:pPr>
      <w:r>
        <w:rPr>
          <w:rStyle w:val="19"/>
          <w:rFonts w:hint="eastAsia" w:eastAsia="楷体_GB2312"/>
          <w:lang w:eastAsia="zh-CN"/>
        </w:rPr>
        <w:t>（一）</w:t>
      </w:r>
      <w:r>
        <w:rPr>
          <w:rStyle w:val="19"/>
        </w:rPr>
        <w:t>纵深推进财政体制改革</w:t>
      </w:r>
      <w:r>
        <w:rPr>
          <w:rFonts w:ascii="Times New Roman" w:hAnsi="Times New Roman" w:eastAsia="仿宋_GB2312" w:cs="仿宋_GB2312"/>
          <w:i w:val="0"/>
          <w:color w:val="000000"/>
          <w:sz w:val="32"/>
          <w:szCs w:val="32"/>
          <w:bdr w:val="none" w:color="auto" w:sz="0" w:space="0"/>
        </w:rPr>
        <w:t>。全面深化零基预算改革，统筹配置各类财政资源，科学优化财政支出结构，夯实预算保障基础。健全预算编制执行与转移支付制度，全面提升财政资金使用绩效。</w:t>
      </w:r>
    </w:p>
    <w:p w14:paraId="23A739AB">
      <w:pPr>
        <w:pStyle w:val="11"/>
        <w:widowControl/>
        <w:numPr>
          <w:numId w:val="0"/>
        </w:numPr>
        <w:pBdr>
          <w:top w:val="none" w:color="auto" w:sz="0" w:space="0"/>
          <w:left w:val="none" w:color="auto" w:sz="0" w:space="0"/>
          <w:bottom w:val="none" w:color="auto" w:sz="0" w:space="0"/>
          <w:right w:val="none" w:color="auto" w:sz="0" w:space="0"/>
        </w:pBdr>
        <w:topLinePunct w:val="0"/>
        <w:ind w:left="0" w:leftChars="0" w:firstLine="616"/>
        <w:rPr>
          <w:rFonts w:hint="eastAsia" w:ascii="楷体_GB2312" w:hAnsi="楷体_GB2312" w:eastAsia="楷体_GB2312" w:cs="楷体_GB2312"/>
          <w:b w:val="0"/>
          <w:i w:val="0"/>
          <w:color w:val="auto"/>
          <w:sz w:val="32"/>
          <w:szCs w:val="32"/>
          <w:bdr w:val="none" w:sz="0" w:space="0"/>
        </w:rPr>
      </w:pPr>
      <w:r>
        <w:rPr>
          <w:rStyle w:val="19"/>
          <w:rFonts w:hint="eastAsia" w:eastAsia="楷体_GB2312"/>
          <w:lang w:eastAsia="zh-CN"/>
        </w:rPr>
        <w:t>（二）</w:t>
      </w:r>
      <w:r>
        <w:rPr>
          <w:rStyle w:val="19"/>
        </w:rPr>
        <w:t>精准赋能重大项目监管</w:t>
      </w:r>
      <w:r>
        <w:rPr>
          <w:rFonts w:ascii="Times New Roman" w:hAnsi="Times New Roman" w:eastAsia="仿宋_GB2312" w:cs="仿宋_GB2312"/>
          <w:i w:val="0"/>
          <w:color w:val="000000"/>
          <w:sz w:val="32"/>
          <w:szCs w:val="32"/>
          <w:bdr w:val="none" w:color="auto" w:sz="0" w:space="0"/>
        </w:rPr>
        <w:t>。坚持在发展中保障和改善民生，聚焦居家养老、住房保障、乡村振兴等关键领域，推动惠民政策落地见效。压紧压实民生项目与资金监管责任。提升政府投资项目科学化、规范化、精细化管理水平，全面提升项目建设质效。</w:t>
      </w:r>
    </w:p>
    <w:p w14:paraId="6DE57FD3">
      <w:pPr>
        <w:pStyle w:val="11"/>
        <w:widowControl/>
        <w:numPr>
          <w:numId w:val="0"/>
        </w:numPr>
        <w:pBdr>
          <w:top w:val="none" w:color="auto" w:sz="0" w:space="0"/>
          <w:left w:val="none" w:color="auto" w:sz="0" w:space="0"/>
          <w:bottom w:val="none" w:color="auto" w:sz="0" w:space="0"/>
          <w:right w:val="none" w:color="auto" w:sz="0" w:space="0"/>
        </w:pBdr>
        <w:topLinePunct w:val="0"/>
        <w:ind w:left="0" w:leftChars="0" w:firstLine="616"/>
        <w:rPr>
          <w:rFonts w:hint="eastAsia" w:ascii="楷体_GB2312" w:hAnsi="楷体_GB2312" w:eastAsia="楷体_GB2312" w:cs="楷体_GB2312"/>
          <w:b w:val="0"/>
          <w:i w:val="0"/>
          <w:color w:val="auto"/>
          <w:sz w:val="32"/>
          <w:szCs w:val="32"/>
          <w:bdr w:val="none" w:sz="0" w:space="0"/>
        </w:rPr>
      </w:pPr>
      <w:r>
        <w:rPr>
          <w:rStyle w:val="19"/>
          <w:rFonts w:hint="eastAsia" w:eastAsia="楷体_GB2312"/>
          <w:lang w:eastAsia="zh-CN"/>
        </w:rPr>
        <w:t>（三）</w:t>
      </w:r>
      <w:r>
        <w:rPr>
          <w:rStyle w:val="19"/>
        </w:rPr>
        <w:t>从严加强国有资产监管</w:t>
      </w:r>
      <w:r>
        <w:rPr>
          <w:rFonts w:ascii="Times New Roman" w:hAnsi="Times New Roman" w:eastAsia="仿宋_GB2312" w:cs="仿宋_GB2312"/>
          <w:i w:val="0"/>
          <w:color w:val="000000"/>
          <w:sz w:val="32"/>
          <w:szCs w:val="32"/>
          <w:bdr w:val="none" w:color="auto" w:sz="0" w:space="0"/>
        </w:rPr>
        <w:t>。夯实行政事业性国有资产管理基础，做到家底清晰、账实相符，规范资产配置、使用及处置全流程，保障资产安全高效运行。扎实推进国企改革深化提升行动，加快构建现代化产业体系，统筹兼顾国有企业发展与安全。</w:t>
      </w:r>
    </w:p>
    <w:p w14:paraId="1D38A3FB">
      <w:pPr>
        <w:pStyle w:val="11"/>
        <w:widowControl/>
        <w:numPr>
          <w:numId w:val="0"/>
        </w:numPr>
        <w:pBdr>
          <w:top w:val="none" w:color="auto" w:sz="0" w:space="0"/>
          <w:left w:val="none" w:color="auto" w:sz="0" w:space="0"/>
          <w:bottom w:val="none" w:color="auto" w:sz="0" w:space="0"/>
          <w:right w:val="none" w:color="auto" w:sz="0" w:space="0"/>
        </w:pBdr>
        <w:topLinePunct w:val="0"/>
        <w:ind w:left="0" w:leftChars="0" w:firstLine="616"/>
        <w:rPr>
          <w:rFonts w:hint="eastAsia" w:ascii="楷体_GB2312" w:hAnsi="楷体_GB2312" w:eastAsia="楷体_GB2312" w:cs="楷体_GB2312"/>
          <w:b w:val="0"/>
          <w:i w:val="0"/>
          <w:color w:val="auto"/>
          <w:sz w:val="32"/>
          <w:szCs w:val="32"/>
          <w:bdr w:val="none" w:sz="0" w:space="0"/>
        </w:rPr>
      </w:pPr>
      <w:r>
        <w:rPr>
          <w:rStyle w:val="19"/>
          <w:rFonts w:hint="eastAsia" w:eastAsia="楷体_GB2312"/>
          <w:lang w:eastAsia="zh-CN"/>
        </w:rPr>
        <w:t>（四）</w:t>
      </w:r>
      <w:r>
        <w:rPr>
          <w:rStyle w:val="19"/>
        </w:rPr>
        <w:t>全面深化生态文明建设</w:t>
      </w:r>
      <w:r>
        <w:rPr>
          <w:rFonts w:ascii="Times New Roman" w:hAnsi="Times New Roman" w:eastAsia="仿宋_GB2312" w:cs="仿宋_GB2312"/>
          <w:i w:val="0"/>
          <w:color w:val="000000"/>
          <w:sz w:val="32"/>
          <w:szCs w:val="32"/>
          <w:bdr w:val="none" w:color="auto" w:sz="0" w:space="0"/>
        </w:rPr>
        <w:t>。纵深推进生态文明建设全域提质，健全长效管护机制，巩固攻坚整治成效。扎实推进生态公益林的科学抚育与低效林改造，严格落实生态保护责任，筑牢绿色生态屏障。</w:t>
      </w:r>
    </w:p>
    <w:p w14:paraId="600DD1FE"/>
    <w:p w14:paraId="0FF84F5F">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23A9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70895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VtgQK4gIAAC4GAAAOAAAAAAAAAAEAIAAAACUBAABkcnMvZTJv&#10;RG9jLnhtbFBLBQYAAAAABgAGAFkBAAB5BgAAAAA=&#10;">
              <v:fill on="f" focussize="0,0"/>
              <v:stroke on="f" weight="0.5pt"/>
              <v:imagedata o:title=""/>
              <o:lock v:ext="edit" aspectratio="f"/>
              <v:textbox inset="16pt,0mm,16pt,0mm" style="mso-fit-shape-to-text:t;">
                <w:txbxContent>
                  <w:p w14:paraId="0070895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F87E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8BBA6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37onp4gIAAC4GAAAOAAAAAAAAAAEAIAAAACUBAABkcnMvZTJv&#10;RG9jLnhtbFBLBQYAAAAABgAGAFkBAAB5BgAAAAA=&#10;">
              <v:fill on="f" focussize="0,0"/>
              <v:stroke on="f" weight="0.5pt"/>
              <v:imagedata o:title=""/>
              <o:lock v:ext="edit" aspectratio="f"/>
              <v:textbox inset="16pt,0mm,16pt,0mm" style="mso-fit-shape-to-text:t;">
                <w:txbxContent>
                  <w:p w14:paraId="548BBA6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3558E">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F3A41">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282A1D"/>
    <w:rsid w:val="104E3FAC"/>
    <w:rsid w:val="1C6161B8"/>
    <w:rsid w:val="21D87908"/>
    <w:rsid w:val="2321333F"/>
    <w:rsid w:val="255676EF"/>
    <w:rsid w:val="2E1E3C41"/>
    <w:rsid w:val="3816038F"/>
    <w:rsid w:val="44BC412D"/>
    <w:rsid w:val="45296715"/>
    <w:rsid w:val="539F027F"/>
    <w:rsid w:val="5FC45B72"/>
    <w:rsid w:val="61A25574"/>
    <w:rsid w:val="620B0D0E"/>
    <w:rsid w:val="6E627E80"/>
    <w:rsid w:val="6F6F3BD8"/>
    <w:rsid w:val="7AFB5620"/>
    <w:rsid w:val="7C0D23A3"/>
    <w:rsid w:val="7E921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9"/>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9">
    <w:name w:val="标题 2 Char"/>
    <w:link w:val="3"/>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2025-02-10T07:36:00Z</dcterms:created>
  <dc:creator>Administrator</dc:creator>
  <cp:lastModifiedBy>吴奇勋</cp:lastModifiedBy>
  <dcterms:modified xsi:type="dcterms:W3CDTF">2026-09-04T06:32:47Z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81CF20AEB427499E8E83EFBD65B09384_12</vt:lpwstr>
  </property>
  <property fmtid="{D5CDD505-2E9C-101B-9397-08002B2CF9AE}" pid="4" name="KSOTemplateDocerSaveRecord">
    <vt:lpwstr>eyJoZGlkIjoiOTdjNjVlN2NkNTE5MGRmZGY0MjRkNTc2YjdiM2Y0MWMiLCJ1c2VySWQiOiIxNjU2NjkyMTU1In0=</vt:lpwstr>
  </property>
</Properties>
</file>