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B9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u w:val="none"/>
        </w:rPr>
      </w:pPr>
      <w:bookmarkStart w:id="0" w:name="OLE_LINK13"/>
      <w:bookmarkStart w:id="1" w:name="OLE_LINK14"/>
      <w:r>
        <w:rPr>
          <w:rFonts w:hint="eastAsia" w:eastAsia="仿宋_GB2312"/>
          <w:sz w:val="32"/>
          <w:u w:val="none"/>
          <w:lang w:val="en-US" w:eastAsia="zh-CN"/>
        </w:rPr>
        <w:t>2026年</w:t>
      </w:r>
      <w:r>
        <w:rPr>
          <w:rFonts w:hint="eastAsia" w:eastAsia="仿宋_GB2312"/>
          <w:sz w:val="32"/>
          <w:u w:val="none"/>
          <w:lang w:eastAsia="zh-CN"/>
        </w:rPr>
        <w:t>，</w:t>
      </w:r>
      <w:r>
        <w:rPr>
          <w:rFonts w:hint="eastAsia" w:eastAsia="仿宋_GB2312"/>
          <w:sz w:val="32"/>
          <w:u w:val="none"/>
        </w:rPr>
        <w:t>全市系统</w:t>
      </w:r>
      <w:r>
        <w:rPr>
          <w:rFonts w:hint="eastAsia" w:ascii="Times New Roman" w:hAnsi="Times New Roman" w:eastAsia="仿宋_GB2312" w:cs="Times New Roman"/>
          <w:sz w:val="32"/>
          <w:szCs w:val="44"/>
        </w:rPr>
        <w:t>将牢牢把握习近平总书记对江苏、苏州工作重要讲话</w:t>
      </w:r>
      <w:r>
        <w:rPr>
          <w:rFonts w:hint="eastAsia" w:ascii="Times New Roman" w:hAnsi="Times New Roman" w:eastAsia="仿宋_GB2312" w:cs="Times New Roman"/>
          <w:sz w:val="32"/>
          <w:szCs w:val="44"/>
          <w:lang w:eastAsia="zh-CN"/>
        </w:rPr>
        <w:t>和</w:t>
      </w:r>
      <w:r>
        <w:rPr>
          <w:rFonts w:hint="eastAsia" w:ascii="Times New Roman" w:hAnsi="Times New Roman" w:eastAsia="仿宋_GB2312" w:cs="Times New Roman"/>
          <w:sz w:val="32"/>
          <w:szCs w:val="44"/>
        </w:rPr>
        <w:t>重要指示精神，</w:t>
      </w:r>
      <w:r>
        <w:rPr>
          <w:rFonts w:hint="eastAsia" w:eastAsia="仿宋_GB2312"/>
          <w:sz w:val="32"/>
          <w:u w:val="none"/>
        </w:rPr>
        <w:t>全面</w:t>
      </w:r>
      <w:r>
        <w:rPr>
          <w:rFonts w:hint="eastAsia" w:eastAsia="仿宋_GB2312"/>
          <w:sz w:val="32"/>
          <w:u w:val="none"/>
          <w:lang w:val="en-US" w:eastAsia="zh-CN"/>
        </w:rPr>
        <w:t>落实</w:t>
      </w:r>
      <w:r>
        <w:rPr>
          <w:rFonts w:hint="eastAsia" w:eastAsia="仿宋_GB2312"/>
          <w:sz w:val="32"/>
          <w:u w:val="none"/>
        </w:rPr>
        <w:t>市委、市政府和省厅对新一年工作的部署安排，聚焦</w:t>
      </w:r>
      <w:r>
        <w:rPr>
          <w:rFonts w:hint="eastAsia" w:eastAsia="仿宋_GB2312"/>
          <w:sz w:val="32"/>
          <w:u w:val="none"/>
          <w:lang w:val="en-US" w:eastAsia="zh-CN"/>
        </w:rPr>
        <w:t>新形势、新任务、新要求</w:t>
      </w:r>
      <w:r>
        <w:rPr>
          <w:rFonts w:hint="eastAsia" w:eastAsia="仿宋_GB2312"/>
          <w:sz w:val="32"/>
          <w:u w:val="none"/>
        </w:rPr>
        <w:t>，</w:t>
      </w:r>
      <w:r>
        <w:rPr>
          <w:rFonts w:hint="eastAsia" w:eastAsia="仿宋_GB2312"/>
          <w:sz w:val="32"/>
          <w:u w:val="none"/>
          <w:lang w:val="en-US" w:eastAsia="zh-CN"/>
        </w:rPr>
        <w:t>扎扎实实做好各项重点工作，为苏州“十五五”开好局、起好步提供坚实的资源规划支撑</w:t>
      </w:r>
      <w:r>
        <w:rPr>
          <w:rFonts w:hint="eastAsia" w:eastAsia="仿宋_GB2312"/>
          <w:sz w:val="32"/>
          <w:u w:val="none"/>
        </w:rPr>
        <w:t>。</w:t>
      </w:r>
    </w:p>
    <w:bookmarkEnd w:id="0"/>
    <w:bookmarkEnd w:id="1"/>
    <w:p w14:paraId="6438C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eastAsia="仿宋_GB2312"/>
          <w:sz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u w:val="none"/>
        </w:rPr>
        <w:t>一是聚焦经济稳中求进，深入开展要素护航行动。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  <w:lang w:val="en-US" w:eastAsia="zh-CN"/>
        </w:rPr>
        <w:t>精准服务保障。</w:t>
      </w:r>
      <w:r>
        <w:rPr>
          <w:rFonts w:hint="eastAsia" w:ascii="Times New Roman" w:hAnsi="Times New Roman" w:eastAsia="仿宋_GB2312" w:cs="Times New Roman"/>
          <w:sz w:val="32"/>
          <w:u w:val="none"/>
          <w:lang w:val="en-US" w:eastAsia="zh-CN"/>
        </w:rPr>
        <w:t>充分发挥局“重大办”统筹协调作用，用好“</w:t>
      </w:r>
      <w:r>
        <w:rPr>
          <w:rFonts w:hint="eastAsia" w:eastAsia="仿宋_GB2312"/>
          <w:sz w:val="32"/>
          <w:u w:val="none"/>
          <w:lang w:val="en-US" w:eastAsia="zh-CN"/>
        </w:rPr>
        <w:t>潮汐式”工作机制应对阶段性集中报批，依托“小专班”重点攻坚时效要求高的重大项目报批，主动上门为企业和项目提供从选址到落地开工的全链条</w:t>
      </w:r>
      <w:bookmarkStart w:id="2" w:name="_GoBack"/>
      <w:bookmarkEnd w:id="2"/>
      <w:r>
        <w:rPr>
          <w:rFonts w:hint="eastAsia" w:eastAsia="仿宋_GB2312"/>
          <w:sz w:val="32"/>
          <w:u w:val="none"/>
          <w:lang w:val="en-US" w:eastAsia="zh-CN"/>
        </w:rPr>
        <w:t>、全生命周期</w:t>
      </w:r>
      <w:r>
        <w:rPr>
          <w:rFonts w:hint="eastAsia" w:ascii="Times New Roman" w:hAnsi="Times New Roman" w:eastAsia="仿宋_GB2312" w:cs="Times New Roman"/>
          <w:sz w:val="32"/>
          <w:u w:val="none"/>
          <w:lang w:val="en-US" w:eastAsia="zh-CN"/>
        </w:rPr>
        <w:t>服务</w:t>
      </w:r>
      <w:r>
        <w:rPr>
          <w:rFonts w:hint="eastAsia" w:eastAsia="仿宋_GB2312"/>
          <w:sz w:val="32"/>
          <w:u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u w:val="none"/>
          <w:lang w:val="en-US" w:eastAsia="zh-CN"/>
        </w:rPr>
        <w:t>力争完成年度保障任务能有更多提前量。全面深化用地用林联动审批、单独选址“多论合一”等制度机制改革，推动审批各环节能并则并、能减则减，</w:t>
      </w:r>
      <w:r>
        <w:rPr>
          <w:rFonts w:hint="eastAsia" w:eastAsia="仿宋_GB2312"/>
          <w:sz w:val="32"/>
          <w:u w:val="none"/>
        </w:rPr>
        <w:t>切实为</w:t>
      </w:r>
      <w:r>
        <w:rPr>
          <w:rFonts w:hint="eastAsia" w:eastAsia="仿宋_GB2312"/>
          <w:sz w:val="32"/>
          <w:u w:val="none"/>
          <w:lang w:val="en-US" w:eastAsia="zh-CN"/>
        </w:rPr>
        <w:t>项目</w:t>
      </w:r>
      <w:r>
        <w:rPr>
          <w:rFonts w:hint="eastAsia" w:eastAsia="仿宋_GB2312"/>
          <w:sz w:val="32"/>
          <w:u w:val="none"/>
        </w:rPr>
        <w:t>主体松绑减负。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  <w:lang w:val="en-US" w:eastAsia="zh-CN"/>
        </w:rPr>
        <w:t>优化资源配置。</w:t>
      </w:r>
      <w:r>
        <w:rPr>
          <w:rFonts w:hint="eastAsia" w:ascii="Times New Roman" w:hAnsi="Times New Roman" w:eastAsia="仿宋_GB2312" w:cs="Times New Roman"/>
          <w:sz w:val="32"/>
          <w:u w:val="none"/>
          <w:lang w:val="en-US" w:eastAsia="zh-CN"/>
        </w:rPr>
        <w:t>以苏南、苏州“双试点”改革矩阵为牵引，创新探索规划和土地政策，面上依托要素市场化配置改革行动方案，</w:t>
      </w:r>
      <w:r>
        <w:rPr>
          <w:rFonts w:hint="eastAsia" w:eastAsia="仿宋_GB2312"/>
          <w:sz w:val="32"/>
          <w:u w:val="none"/>
        </w:rPr>
        <w:t>深化实施从空间规划到确权登记的全流程改革；</w:t>
      </w:r>
      <w:r>
        <w:rPr>
          <w:rFonts w:hint="eastAsia" w:eastAsia="仿宋_GB2312"/>
          <w:sz w:val="32"/>
          <w:u w:val="none"/>
          <w:lang w:val="en-US" w:eastAsia="zh-CN"/>
        </w:rPr>
        <w:t>点上</w:t>
      </w:r>
      <w:r>
        <w:rPr>
          <w:rFonts w:hint="eastAsia" w:eastAsia="仿宋_GB2312"/>
          <w:sz w:val="32"/>
          <w:u w:val="none"/>
        </w:rPr>
        <w:t>以古城</w:t>
      </w:r>
      <w:r>
        <w:rPr>
          <w:rFonts w:hint="eastAsia" w:eastAsia="仿宋_GB2312"/>
          <w:sz w:val="32"/>
          <w:u w:val="none"/>
          <w:lang w:val="en-US" w:eastAsia="zh-CN"/>
        </w:rPr>
        <w:t>保护更新</w:t>
      </w:r>
      <w:r>
        <w:rPr>
          <w:rFonts w:hint="eastAsia" w:eastAsia="仿宋_GB2312"/>
          <w:sz w:val="32"/>
          <w:u w:val="none"/>
        </w:rPr>
        <w:t>为核心，</w:t>
      </w:r>
      <w:r>
        <w:rPr>
          <w:rFonts w:hint="eastAsia" w:eastAsia="仿宋_GB2312"/>
          <w:sz w:val="32"/>
          <w:u w:val="none"/>
          <w:lang w:val="en-US" w:eastAsia="zh-CN"/>
        </w:rPr>
        <w:t>加快打通存量资源盘活利用的</w:t>
      </w:r>
      <w:r>
        <w:rPr>
          <w:rFonts w:hint="eastAsia" w:eastAsia="仿宋_GB2312"/>
          <w:sz w:val="32"/>
          <w:u w:val="none"/>
        </w:rPr>
        <w:t>实施路径和操作流程。依法稳妥推进工商业用地使用权续期试点，完善试点方案，探索续期管理规则。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  <w:lang w:val="en-US" w:eastAsia="zh-CN"/>
        </w:rPr>
        <w:t>稳定土地市场。</w:t>
      </w:r>
      <w:r>
        <w:rPr>
          <w:rFonts w:hint="eastAsia" w:ascii="Times New Roman" w:hAnsi="Times New Roman" w:eastAsia="仿宋_GB2312" w:cs="Times New Roman"/>
          <w:sz w:val="32"/>
          <w:u w:val="none"/>
          <w:lang w:val="en-US" w:eastAsia="zh-CN"/>
        </w:rPr>
        <w:t>优化住宅用地供应，落实落细“盘供平衡”调控机制，督促指导各地立足“自我平衡”把握供地节奏。</w:t>
      </w:r>
      <w:r>
        <w:rPr>
          <w:rFonts w:hint="eastAsia" w:eastAsia="仿宋_GB2312"/>
          <w:sz w:val="32"/>
          <w:u w:val="none"/>
        </w:rPr>
        <w:t>印发实施“工业安置房”</w:t>
      </w:r>
      <w:r>
        <w:rPr>
          <w:rFonts w:hint="eastAsia" w:eastAsia="仿宋_GB2312"/>
          <w:sz w:val="32"/>
          <w:u w:val="none"/>
          <w:lang w:val="en-US" w:eastAsia="zh-CN"/>
        </w:rPr>
        <w:t>指导意见</w:t>
      </w:r>
      <w:r>
        <w:rPr>
          <w:rFonts w:hint="eastAsia" w:eastAsia="仿宋_GB2312"/>
          <w:sz w:val="32"/>
          <w:u w:val="none"/>
        </w:rPr>
        <w:t>，完善工业企业搬迁实物安置机制，助力政府搬迁降本、存量载体去化、产业空间焕新。</w:t>
      </w:r>
      <w:r>
        <w:rPr>
          <w:rFonts w:hint="eastAsia" w:eastAsia="仿宋_GB2312"/>
          <w:sz w:val="32"/>
          <w:u w:val="none"/>
          <w:lang w:val="en-US" w:eastAsia="zh-CN"/>
        </w:rPr>
        <w:t>创新建立全市产业用地“一张图”，超前整备一批“即时可供”地块，确保“好项目到苏州不缺地”，全年保障产业用地2万亩以上。</w:t>
      </w:r>
    </w:p>
    <w:p w14:paraId="5972F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eastAsia="仿宋_GB2312"/>
          <w:sz w:val="32"/>
          <w:u w:val="none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u w:val="none"/>
        </w:rPr>
        <w:t>二是聚焦城市内涵发展，深入开展规划提质行动。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</w:rPr>
        <w:t>发</w:t>
      </w:r>
      <w:r>
        <w:rPr>
          <w:rFonts w:hint="eastAsia" w:eastAsia="仿宋_GB2312"/>
          <w:b/>
          <w:bCs/>
          <w:sz w:val="32"/>
          <w:u w:val="none"/>
        </w:rPr>
        <w:t>挥规划基础作用。</w:t>
      </w:r>
      <w:r>
        <w:rPr>
          <w:rFonts w:hint="eastAsia" w:ascii="Times New Roman" w:hAnsi="Times New Roman" w:eastAsia="仿宋_GB2312" w:cs="Times New Roman"/>
          <w:sz w:val="32"/>
          <w:szCs w:val="44"/>
          <w:u w:val="none"/>
          <w:lang w:val="en-US" w:eastAsia="zh-CN"/>
        </w:rPr>
        <w:t>深入实施长三角国土空间规划，</w:t>
      </w:r>
      <w:r>
        <w:rPr>
          <w:rFonts w:hint="eastAsia" w:ascii="Times New Roman" w:hAnsi="Times New Roman" w:eastAsia="仿宋_GB2312" w:cs="Times New Roman"/>
          <w:sz w:val="32"/>
          <w:szCs w:val="44"/>
          <w:u w:val="none"/>
        </w:rPr>
        <w:t>持续跟踪</w:t>
      </w:r>
      <w:r>
        <w:rPr>
          <w:rFonts w:hint="eastAsia" w:ascii="Times New Roman" w:hAnsi="Times New Roman" w:eastAsia="仿宋_GB2312" w:cs="Times New Roman"/>
          <w:sz w:val="32"/>
          <w:szCs w:val="44"/>
          <w:u w:val="none"/>
          <w:lang w:val="en-US" w:eastAsia="zh-CN"/>
        </w:rPr>
        <w:t>对接</w:t>
      </w:r>
      <w:r>
        <w:rPr>
          <w:rFonts w:hint="eastAsia" w:ascii="Times New Roman" w:hAnsi="Times New Roman" w:eastAsia="仿宋_GB2312" w:cs="Times New Roman"/>
          <w:sz w:val="32"/>
          <w:szCs w:val="44"/>
          <w:u w:val="none"/>
        </w:rPr>
        <w:t>上海大都市圈规划，加强跨区域</w:t>
      </w:r>
      <w:r>
        <w:rPr>
          <w:rFonts w:hint="eastAsia" w:ascii="Times New Roman" w:hAnsi="Times New Roman" w:eastAsia="仿宋_GB2312" w:cs="Times New Roman"/>
          <w:sz w:val="32"/>
          <w:szCs w:val="44"/>
          <w:u w:val="none"/>
          <w:lang w:val="en-US" w:eastAsia="zh-CN"/>
        </w:rPr>
        <w:t>统筹</w:t>
      </w:r>
      <w:r>
        <w:rPr>
          <w:rFonts w:hint="eastAsia" w:ascii="Times New Roman" w:hAnsi="Times New Roman" w:eastAsia="仿宋_GB2312" w:cs="Times New Roman"/>
          <w:sz w:val="32"/>
          <w:szCs w:val="44"/>
          <w:u w:val="none"/>
        </w:rPr>
        <w:t>协调，有序推动规划成果落地</w:t>
      </w:r>
      <w:r>
        <w:rPr>
          <w:rFonts w:hint="eastAsia" w:ascii="Times New Roman" w:hAnsi="Times New Roman" w:eastAsia="仿宋_GB2312" w:cs="Times New Roman"/>
          <w:sz w:val="32"/>
          <w:szCs w:val="44"/>
          <w:u w:val="none"/>
          <w:lang w:val="en-US" w:eastAsia="zh-CN"/>
        </w:rPr>
        <w:t>见效</w:t>
      </w:r>
      <w:r>
        <w:rPr>
          <w:rFonts w:hint="eastAsia" w:ascii="Times New Roman" w:hAnsi="Times New Roman" w:eastAsia="仿宋_GB2312" w:cs="Times New Roman"/>
          <w:sz w:val="32"/>
          <w:szCs w:val="44"/>
          <w:u w:val="none"/>
        </w:rPr>
        <w:t>。稳步推进综合交通体系等专项规划编制报批，深入开展</w:t>
      </w:r>
      <w:r>
        <w:rPr>
          <w:rFonts w:hint="eastAsia" w:eastAsia="仿宋_GB2312"/>
          <w:sz w:val="32"/>
          <w:u w:val="none"/>
        </w:rPr>
        <w:t>中心城区能级提升、新发展阶段轨道“四网融合”等</w:t>
      </w:r>
      <w:r>
        <w:rPr>
          <w:rFonts w:hint="eastAsia" w:eastAsia="仿宋_GB2312"/>
          <w:sz w:val="32"/>
          <w:u w:val="none"/>
          <w:lang w:val="en-US" w:eastAsia="zh-CN"/>
        </w:rPr>
        <w:t>重点课题</w:t>
      </w:r>
      <w:r>
        <w:rPr>
          <w:rFonts w:hint="eastAsia" w:eastAsia="仿宋_GB2312"/>
          <w:sz w:val="32"/>
          <w:u w:val="none"/>
        </w:rPr>
        <w:t>研究，</w:t>
      </w:r>
      <w:r>
        <w:rPr>
          <w:rFonts w:hint="eastAsia" w:eastAsia="仿宋_GB2312"/>
          <w:sz w:val="32"/>
          <w:szCs w:val="44"/>
          <w:u w:val="none"/>
        </w:rPr>
        <w:t>引导城市功能</w:t>
      </w:r>
      <w:r>
        <w:rPr>
          <w:rFonts w:hint="eastAsia" w:eastAsia="仿宋_GB2312"/>
          <w:sz w:val="32"/>
          <w:szCs w:val="44"/>
          <w:u w:val="none"/>
          <w:lang w:val="en-US" w:eastAsia="zh-CN"/>
        </w:rPr>
        <w:t>结构</w:t>
      </w:r>
      <w:r>
        <w:rPr>
          <w:rFonts w:hint="eastAsia" w:eastAsia="仿宋_GB2312"/>
          <w:sz w:val="32"/>
          <w:szCs w:val="44"/>
          <w:u w:val="none"/>
        </w:rPr>
        <w:t>优化。高水平编制“十五五”自然资源保护和利用规划等。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</w:rPr>
        <w:t>强化</w:t>
      </w:r>
      <w:r>
        <w:rPr>
          <w:rFonts w:hint="eastAsia" w:eastAsia="仿宋_GB2312"/>
          <w:b/>
          <w:bCs/>
          <w:sz w:val="32"/>
          <w:u w:val="none"/>
        </w:rPr>
        <w:t>规划实施管理。</w:t>
      </w:r>
      <w:r>
        <w:rPr>
          <w:rFonts w:eastAsia="仿宋_GB2312"/>
          <w:sz w:val="32"/>
          <w:u w:val="none"/>
        </w:rPr>
        <w:t>扎实开展国土空间规划实施体检评估，衔接</w:t>
      </w:r>
      <w:r>
        <w:rPr>
          <w:rFonts w:hint="eastAsia" w:ascii="仿宋_GB2312" w:hAnsi="仿宋_GB2312" w:eastAsia="仿宋_GB2312" w:cs="仿宋_GB2312"/>
          <w:sz w:val="32"/>
          <w:u w:val="none"/>
        </w:rPr>
        <w:t>“十五五”</w:t>
      </w:r>
      <w:r>
        <w:rPr>
          <w:rFonts w:eastAsia="仿宋_GB2312"/>
          <w:sz w:val="32"/>
          <w:u w:val="none"/>
        </w:rPr>
        <w:t>发展规划需求，推动</w:t>
      </w:r>
      <w:r>
        <w:rPr>
          <w:rFonts w:hint="eastAsia" w:ascii="仿宋_GB2312" w:hAnsi="仿宋_GB2312" w:eastAsia="仿宋_GB2312" w:cs="仿宋_GB2312"/>
          <w:sz w:val="32"/>
          <w:u w:val="none"/>
        </w:rPr>
        <w:t>“三区三线”</w:t>
      </w:r>
      <w:r>
        <w:rPr>
          <w:rFonts w:eastAsia="仿宋_GB2312"/>
          <w:sz w:val="32"/>
          <w:u w:val="none"/>
        </w:rPr>
        <w:t>协同正向优化，更好支撑国家和省市重大战略、重大项目落地实施。</w:t>
      </w:r>
      <w:r>
        <w:rPr>
          <w:rFonts w:hint="eastAsia" w:eastAsia="仿宋_GB2312"/>
          <w:sz w:val="32"/>
          <w:u w:val="none"/>
        </w:rPr>
        <w:t>建立健全详细规划动态优化和弹性管理机制，完善</w:t>
      </w:r>
      <w:r>
        <w:rPr>
          <w:rFonts w:hint="eastAsia" w:eastAsia="仿宋_GB2312"/>
          <w:sz w:val="32"/>
          <w:u w:val="none"/>
          <w:lang w:val="en-US" w:eastAsia="zh-CN"/>
        </w:rPr>
        <w:t>详细规划</w:t>
      </w:r>
      <w:r>
        <w:rPr>
          <w:rFonts w:hint="eastAsia" w:eastAsia="仿宋_GB2312"/>
          <w:sz w:val="32"/>
          <w:u w:val="none"/>
        </w:rPr>
        <w:t>技术修正的适用情形和用地混合兼容正负面清单，进一步提升规划管理效能。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</w:rPr>
        <w:t>加强</w:t>
      </w:r>
      <w:r>
        <w:rPr>
          <w:rFonts w:hint="eastAsia" w:eastAsia="仿宋_GB2312"/>
          <w:b/>
          <w:bCs/>
          <w:sz w:val="32"/>
          <w:u w:val="none"/>
        </w:rPr>
        <w:t>历史文化保护。</w:t>
      </w:r>
      <w:r>
        <w:rPr>
          <w:rFonts w:hint="eastAsia" w:eastAsia="仿宋_GB2312"/>
          <w:sz w:val="32"/>
          <w:u w:val="none"/>
        </w:rPr>
        <w:t>完成历史文化名城、山塘等历史文化街区、省级以上历史文化名镇名村保护规划编制报批，</w:t>
      </w:r>
      <w:r>
        <w:rPr>
          <w:rFonts w:eastAsia="仿宋_GB2312"/>
          <w:sz w:val="32"/>
          <w:u w:val="none"/>
        </w:rPr>
        <w:t>公布苏州市第三批历史建筑，</w:t>
      </w:r>
      <w:r>
        <w:rPr>
          <w:rFonts w:hint="eastAsia" w:eastAsia="仿宋_GB2312"/>
          <w:sz w:val="32"/>
          <w:u w:val="none"/>
        </w:rPr>
        <w:t>进一步完善历史文化保护传承体系。深入开展历史建筑保护利用国家试点，在体检评估、活化利用等</w:t>
      </w:r>
      <w:r>
        <w:rPr>
          <w:rFonts w:hint="eastAsia" w:eastAsia="仿宋_GB2312"/>
          <w:sz w:val="32"/>
          <w:u w:val="none"/>
          <w:lang w:val="en-US" w:eastAsia="zh-CN"/>
        </w:rPr>
        <w:t>方面贡献</w:t>
      </w:r>
      <w:r>
        <w:rPr>
          <w:rFonts w:hint="eastAsia" w:eastAsia="仿宋_GB2312"/>
          <w:sz w:val="32"/>
          <w:u w:val="none"/>
        </w:rPr>
        <w:t>苏州经验。深化与中国建筑学会合作，做强做优古城复兴建筑设计工作营，打造一系列耦合传统与现代的“小而美”项目。</w:t>
      </w:r>
    </w:p>
    <w:p w14:paraId="1D968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eastAsia="仿宋_GB2312"/>
          <w:sz w:val="32"/>
          <w:u w:val="none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u w:val="none"/>
        </w:rPr>
        <w:t>三是聚焦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u w:val="none"/>
          <w:lang w:val="en-US" w:eastAsia="zh-CN"/>
        </w:rPr>
        <w:t>生态文明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u w:val="none"/>
        </w:rPr>
        <w:t>建设，深入开展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u w:val="none"/>
          <w:lang w:val="en-US" w:eastAsia="zh-CN"/>
        </w:rPr>
        <w:t>资源保护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u w:val="none"/>
        </w:rPr>
        <w:t>行动。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</w:rPr>
        <w:t>量质</w:t>
      </w:r>
      <w:r>
        <w:rPr>
          <w:rFonts w:hint="eastAsia" w:eastAsia="仿宋_GB2312"/>
          <w:b/>
          <w:bCs/>
          <w:sz w:val="32"/>
          <w:u w:val="none"/>
        </w:rPr>
        <w:t>并举护耕地。</w:t>
      </w:r>
      <w:r>
        <w:rPr>
          <w:rStyle w:val="6"/>
          <w:rFonts w:hint="eastAsia" w:ascii="Times New Roman" w:hAnsi="Times New Roman" w:eastAsia="仿宋_GB2312" w:cs="Times New Roman"/>
          <w:sz w:val="32"/>
          <w:szCs w:val="20"/>
          <w:u w:val="none"/>
          <w:lang w:val="en-US" w:eastAsia="zh-CN"/>
        </w:rPr>
        <w:t>严格落实“以补定占”，健全完善以耕地总量动态平衡为核心的占补平衡新机制，确保</w:t>
      </w:r>
      <w:r>
        <w:rPr>
          <w:rStyle w:val="6"/>
          <w:rFonts w:hint="eastAsia" w:eastAsia="仿宋_GB2312"/>
          <w:sz w:val="32"/>
          <w:szCs w:val="20"/>
          <w:u w:val="none"/>
          <w:lang w:val="en-US" w:eastAsia="zh-CN"/>
        </w:rPr>
        <w:t>“占一补一、占优补优”</w:t>
      </w:r>
      <w:r>
        <w:rPr>
          <w:rStyle w:val="6"/>
          <w:rFonts w:hint="eastAsia" w:eastAsia="仿宋_GB2312"/>
          <w:sz w:val="32"/>
          <w:szCs w:val="20"/>
          <w:u w:val="none"/>
        </w:rPr>
        <w:t>。按照“</w:t>
      </w:r>
      <w:r>
        <w:rPr>
          <w:rStyle w:val="6"/>
          <w:rFonts w:hint="eastAsia" w:eastAsia="仿宋_GB2312"/>
          <w:sz w:val="32"/>
          <w:szCs w:val="20"/>
          <w:u w:val="none"/>
          <w:lang w:val="en-US" w:eastAsia="zh-CN"/>
        </w:rPr>
        <w:t>三个一批</w:t>
      </w:r>
      <w:r>
        <w:rPr>
          <w:rStyle w:val="6"/>
          <w:rFonts w:hint="eastAsia" w:eastAsia="仿宋_GB2312"/>
          <w:sz w:val="32"/>
          <w:szCs w:val="20"/>
          <w:u w:val="none"/>
        </w:rPr>
        <w:t>”</w:t>
      </w:r>
      <w:r>
        <w:rPr>
          <w:rStyle w:val="6"/>
          <w:rFonts w:hint="eastAsia" w:eastAsia="仿宋_GB2312"/>
          <w:sz w:val="32"/>
          <w:szCs w:val="20"/>
          <w:u w:val="none"/>
          <w:lang w:val="en-US" w:eastAsia="zh-CN"/>
        </w:rPr>
        <w:t>工作</w:t>
      </w:r>
      <w:r>
        <w:rPr>
          <w:rStyle w:val="6"/>
          <w:rFonts w:hint="eastAsia" w:eastAsia="仿宋_GB2312"/>
          <w:sz w:val="32"/>
          <w:szCs w:val="20"/>
          <w:u w:val="none"/>
        </w:rPr>
        <w:t>思路，科学编制耕地恢复过渡期方案，切实减轻基层负担、维护农民权益。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</w:rPr>
        <w:t>系统</w:t>
      </w:r>
      <w:r>
        <w:rPr>
          <w:rFonts w:hint="eastAsia" w:eastAsia="仿宋_GB2312"/>
          <w:b/>
          <w:bCs/>
          <w:sz w:val="32"/>
          <w:u w:val="none"/>
        </w:rPr>
        <w:t>修复优生态。</w:t>
      </w:r>
      <w:r>
        <w:rPr>
          <w:rStyle w:val="6"/>
          <w:rFonts w:hint="eastAsia" w:eastAsia="仿宋_GB2312"/>
          <w:sz w:val="32"/>
          <w:szCs w:val="20"/>
          <w:u w:val="none"/>
        </w:rPr>
        <w:t>扎实做好省级生态空间管控区域评估优化工作，加快构建市、县两级国土空间生态保护修复规划体系，进一步筑牢生态安全屏障。加快实施吴中东太湖省级山水示范工程，打造人与自然和谐共生的“标杆示范”。协同省</w:t>
      </w:r>
      <w:r>
        <w:rPr>
          <w:rStyle w:val="6"/>
          <w:rFonts w:hint="eastAsia" w:eastAsia="仿宋_GB2312"/>
          <w:sz w:val="32"/>
          <w:szCs w:val="20"/>
          <w:u w:val="none"/>
          <w:lang w:val="en-US" w:eastAsia="zh-CN"/>
        </w:rPr>
        <w:t>厅</w:t>
      </w:r>
      <w:r>
        <w:rPr>
          <w:rStyle w:val="6"/>
          <w:rFonts w:hint="eastAsia" w:eastAsia="仿宋_GB2312"/>
          <w:sz w:val="32"/>
          <w:szCs w:val="20"/>
          <w:u w:val="none"/>
        </w:rPr>
        <w:t>积极谋划太湖流域山水林田湖草一体化保护修复项目，全力争取“十五五”国家山水工程支持。扎实推动全域土地综合整治提质增效，加快完成吴江、相城单元实施方案以及吴中、昆山总体方案报批，努力实现耕地保护、三生空间优化、土地节约集约等综合效益的最大化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</w:rPr>
        <w:t>健全</w:t>
      </w:r>
      <w:r>
        <w:rPr>
          <w:rFonts w:hint="eastAsia" w:eastAsia="仿宋_GB2312"/>
          <w:b/>
          <w:bCs/>
          <w:sz w:val="32"/>
          <w:u w:val="none"/>
        </w:rPr>
        <w:t>体系保安全。</w:t>
      </w:r>
      <w:r>
        <w:rPr>
          <w:rStyle w:val="6"/>
          <w:rFonts w:hint="eastAsia" w:ascii="Times New Roman" w:hAnsi="Times New Roman" w:eastAsia="仿宋_GB2312" w:cs="Times New Roman"/>
          <w:sz w:val="32"/>
          <w:szCs w:val="20"/>
          <w:u w:val="none"/>
          <w:lang w:val="en-US" w:eastAsia="zh-CN"/>
        </w:rPr>
        <w:t>组织开展地质灾害风险隐患年度排查，加快构建“隐患点+风险区”双控管理体系</w:t>
      </w:r>
      <w:r>
        <w:rPr>
          <w:rStyle w:val="6"/>
          <w:rFonts w:hint="eastAsia" w:eastAsia="仿宋_GB2312"/>
          <w:sz w:val="32"/>
          <w:szCs w:val="20"/>
          <w:u w:val="none"/>
        </w:rPr>
        <w:t>。动态更新房屋周边山体排查清单，</w:t>
      </w:r>
      <w:r>
        <w:rPr>
          <w:rStyle w:val="6"/>
          <w:rFonts w:hint="eastAsia" w:eastAsia="仿宋_GB2312"/>
          <w:sz w:val="32"/>
          <w:szCs w:val="20"/>
          <w:u w:val="none"/>
          <w:lang w:val="en-US" w:eastAsia="zh-CN"/>
        </w:rPr>
        <w:t>紧盯重点时段、重要区域做好“汛期三查”，</w:t>
      </w:r>
      <w:r>
        <w:rPr>
          <w:rStyle w:val="6"/>
          <w:rFonts w:hint="eastAsia" w:eastAsia="仿宋_GB2312"/>
          <w:sz w:val="32"/>
          <w:szCs w:val="20"/>
          <w:u w:val="none"/>
        </w:rPr>
        <w:t>织密织牢地灾防治“生命线”。</w:t>
      </w:r>
    </w:p>
    <w:p w14:paraId="0B1C8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eastAsia="仿宋_GB2312"/>
          <w:sz w:val="32"/>
          <w:u w:val="none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u w:val="none"/>
        </w:rPr>
        <w:t>四是聚焦治理能力提升，深入开展基础夯实行动。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</w:rPr>
        <w:t>全</w:t>
      </w:r>
      <w:r>
        <w:rPr>
          <w:rFonts w:hint="eastAsia" w:eastAsia="仿宋_GB2312"/>
          <w:b/>
          <w:bCs/>
          <w:sz w:val="32"/>
          <w:szCs w:val="44"/>
          <w:u w:val="none"/>
        </w:rPr>
        <w:t>面加强法治自然建设。</w:t>
      </w:r>
      <w:r>
        <w:rPr>
          <w:rFonts w:hint="eastAsia" w:ascii="仿宋_GB2312" w:hAnsi="仿宋_GB2312" w:eastAsia="仿宋_GB2312" w:cs="仿宋_GB2312"/>
          <w:sz w:val="32"/>
          <w:u w:val="none"/>
        </w:rPr>
        <w:t>深化“行政+司法</w:t>
      </w:r>
      <w:r>
        <w:rPr>
          <w:rFonts w:hint="eastAsia" w:eastAsia="仿宋_GB2312"/>
          <w:sz w:val="32"/>
          <w:u w:val="none"/>
        </w:rPr>
        <w:t>”共商共治格局，</w:t>
      </w:r>
      <w:r>
        <w:rPr>
          <w:rFonts w:hint="eastAsia" w:eastAsia="仿宋_GB2312"/>
          <w:sz w:val="32"/>
          <w:u w:val="none"/>
          <w:lang w:val="en-US" w:eastAsia="zh-CN"/>
        </w:rPr>
        <w:t>健全完善风险提示工作机制</w:t>
      </w:r>
      <w:r>
        <w:rPr>
          <w:rFonts w:hint="eastAsia" w:ascii="仿宋_GB2312" w:hAnsi="仿宋_GB2312" w:eastAsia="仿宋_GB2312" w:cs="仿宋_GB2312"/>
          <w:sz w:val="32"/>
          <w:u w:val="none"/>
        </w:rPr>
        <w:t>，有效推动行政争议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案件源头治理和</w:t>
      </w:r>
      <w:r>
        <w:rPr>
          <w:rFonts w:hint="eastAsia" w:ascii="仿宋_GB2312" w:hAnsi="仿宋_GB2312" w:eastAsia="仿宋_GB2312" w:cs="仿宋_GB2312"/>
          <w:sz w:val="32"/>
          <w:u w:val="none"/>
        </w:rPr>
        <w:t>实质性化解。</w:t>
      </w:r>
      <w:r>
        <w:rPr>
          <w:rFonts w:hint="eastAsia" w:eastAsia="仿宋_GB2312"/>
          <w:sz w:val="32"/>
          <w:u w:val="none"/>
        </w:rPr>
        <w:t>严格落实重大行政决策程序，</w:t>
      </w:r>
      <w:r>
        <w:rPr>
          <w:rFonts w:hint="eastAsia" w:eastAsia="仿宋_GB2312"/>
          <w:sz w:val="32"/>
          <w:u w:val="none"/>
          <w:lang w:val="en-US" w:eastAsia="zh-CN"/>
        </w:rPr>
        <w:t>有序推动多项事关企业群众切身利益的重要文件出台实施。持续规范涉企行政执法，落实“综合查一次”联合检查，切实减少重复执法对企业造成的干扰。</w:t>
      </w:r>
      <w:r>
        <w:rPr>
          <w:rFonts w:hint="eastAsia" w:ascii="Times New Roman" w:hAnsi="Times New Roman" w:eastAsia="仿宋_GB2312" w:cs="Times New Roman"/>
          <w:sz w:val="32"/>
          <w:szCs w:val="44"/>
          <w:u w:val="none"/>
        </w:rPr>
        <w:t>认真完成市人大、市政府年度立法计划及“两会”建议提案办理工作。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</w:rPr>
        <w:t>数字赋</w:t>
      </w:r>
      <w:r>
        <w:rPr>
          <w:rFonts w:hint="eastAsia" w:eastAsia="仿宋_GB2312"/>
          <w:b/>
          <w:bCs/>
          <w:sz w:val="32"/>
          <w:szCs w:val="44"/>
          <w:u w:val="none"/>
        </w:rPr>
        <w:t>能国土空间治理</w:t>
      </w:r>
      <w:r>
        <w:rPr>
          <w:rFonts w:hint="eastAsia" w:eastAsia="仿宋_GB2312"/>
          <w:b/>
          <w:bCs/>
          <w:sz w:val="32"/>
          <w:u w:val="none"/>
        </w:rPr>
        <w:t>。</w:t>
      </w:r>
      <w:r>
        <w:rPr>
          <w:rFonts w:hint="eastAsia" w:eastAsia="仿宋_GB2312"/>
          <w:sz w:val="32"/>
          <w:u w:val="none"/>
        </w:rPr>
        <w:t>建立实景三维常态化更新机制，选定</w:t>
      </w:r>
      <w:r>
        <w:rPr>
          <w:rFonts w:hint="default" w:ascii="Times New Roman" w:hAnsi="Times New Roman" w:eastAsia="仿宋_GB2312" w:cs="Times New Roman"/>
          <w:sz w:val="32"/>
          <w:u w:val="none"/>
        </w:rPr>
        <w:t>不小于30平方千米区域，试点按月度自动化采集更新数据。持续强化CIM平</w:t>
      </w:r>
      <w:r>
        <w:rPr>
          <w:rFonts w:hint="eastAsia" w:eastAsia="仿宋_GB2312"/>
          <w:sz w:val="32"/>
          <w:u w:val="none"/>
        </w:rPr>
        <w:t>台</w:t>
      </w:r>
      <w:r>
        <w:rPr>
          <w:rFonts w:hint="eastAsia" w:eastAsia="仿宋_GB2312"/>
          <w:sz w:val="32"/>
          <w:u w:val="none"/>
          <w:lang w:val="en-US" w:eastAsia="zh-CN"/>
        </w:rPr>
        <w:t>对外服务能力，支撑</w:t>
      </w:r>
      <w:r>
        <w:rPr>
          <w:rFonts w:hint="eastAsia" w:eastAsia="仿宋_GB2312"/>
          <w:sz w:val="32"/>
          <w:u w:val="none"/>
        </w:rPr>
        <w:t>个性化智慧场景建设，</w:t>
      </w:r>
      <w:r>
        <w:rPr>
          <w:rFonts w:hint="eastAsia" w:eastAsia="仿宋_GB2312"/>
          <w:sz w:val="32"/>
          <w:u w:val="none"/>
          <w:lang w:val="en-US" w:eastAsia="zh-CN"/>
        </w:rPr>
        <w:t>更好赋能</w:t>
      </w:r>
      <w:r>
        <w:rPr>
          <w:rFonts w:hint="eastAsia" w:eastAsia="仿宋_GB2312"/>
          <w:sz w:val="32"/>
          <w:u w:val="none"/>
        </w:rPr>
        <w:t>新质生产力</w:t>
      </w:r>
      <w:r>
        <w:rPr>
          <w:rFonts w:hint="eastAsia" w:eastAsia="仿宋_GB2312"/>
          <w:sz w:val="32"/>
          <w:u w:val="none"/>
          <w:lang w:val="en-US" w:eastAsia="zh-CN"/>
        </w:rPr>
        <w:t>发展</w:t>
      </w:r>
      <w:r>
        <w:rPr>
          <w:rFonts w:hint="eastAsia" w:eastAsia="仿宋_GB2312"/>
          <w:sz w:val="32"/>
          <w:u w:val="none"/>
        </w:rPr>
        <w:t>。</w:t>
      </w:r>
      <w:r>
        <w:rPr>
          <w:rFonts w:hint="eastAsia" w:eastAsia="仿宋_GB2312"/>
          <w:sz w:val="32"/>
          <w:u w:val="none"/>
          <w:lang w:val="en-US" w:eastAsia="zh-CN"/>
        </w:rPr>
        <w:t>深化</w:t>
      </w:r>
      <w:r>
        <w:rPr>
          <w:rStyle w:val="6"/>
          <w:rFonts w:hint="eastAsia" w:ascii="Times New Roman" w:hAnsi="Times New Roman" w:eastAsia="仿宋_GB2312" w:cs="Times New Roman"/>
          <w:sz w:val="32"/>
          <w:szCs w:val="20"/>
          <w:u w:val="none"/>
        </w:rPr>
        <w:t>人工智能在自然资源领域的应用，启动“人工智能+”自然资源空间数据引擎建设</w:t>
      </w:r>
      <w:r>
        <w:rPr>
          <w:rStyle w:val="6"/>
          <w:rFonts w:hint="eastAsia" w:ascii="Times New Roman" w:hAnsi="Times New Roman" w:eastAsia="仿宋_GB2312" w:cs="Times New Roman"/>
          <w:sz w:val="32"/>
          <w:szCs w:val="20"/>
          <w:u w:val="none"/>
          <w:lang w:eastAsia="zh-CN"/>
        </w:rPr>
        <w:t>，</w:t>
      </w:r>
      <w:r>
        <w:rPr>
          <w:rStyle w:val="6"/>
          <w:rFonts w:hint="eastAsia" w:ascii="Times New Roman" w:hAnsi="Times New Roman" w:eastAsia="仿宋_GB2312" w:cs="Times New Roman"/>
          <w:sz w:val="32"/>
          <w:szCs w:val="20"/>
          <w:u w:val="none"/>
          <w:lang w:val="en-US" w:eastAsia="zh-CN"/>
        </w:rPr>
        <w:t>探索构建</w:t>
      </w:r>
      <w:r>
        <w:rPr>
          <w:rStyle w:val="6"/>
          <w:rFonts w:hint="eastAsia" w:ascii="Times New Roman" w:hAnsi="Times New Roman" w:eastAsia="仿宋_GB2312" w:cs="Times New Roman"/>
          <w:bCs/>
          <w:sz w:val="32"/>
          <w:szCs w:val="20"/>
          <w:u w:val="none"/>
          <w:lang w:eastAsia="zh-CN"/>
        </w:rPr>
        <w:t>“</w:t>
      </w:r>
      <w:r>
        <w:rPr>
          <w:rStyle w:val="6"/>
          <w:rFonts w:hint="eastAsia" w:ascii="Times New Roman" w:hAnsi="Times New Roman" w:eastAsia="仿宋_GB2312" w:cs="Times New Roman"/>
          <w:bCs/>
          <w:sz w:val="32"/>
          <w:szCs w:val="20"/>
          <w:u w:val="none"/>
          <w:lang w:val="en-US" w:eastAsia="zh-CN"/>
        </w:rPr>
        <w:t>AI+</w:t>
      </w:r>
      <w:r>
        <w:rPr>
          <w:rStyle w:val="6"/>
          <w:rFonts w:hint="eastAsia" w:ascii="Times New Roman" w:hAnsi="Times New Roman" w:eastAsia="仿宋_GB2312" w:cs="Times New Roman"/>
          <w:bCs/>
          <w:sz w:val="32"/>
          <w:szCs w:val="20"/>
          <w:u w:val="none"/>
        </w:rPr>
        <w:t>城市体检</w:t>
      </w:r>
      <w:r>
        <w:rPr>
          <w:rStyle w:val="6"/>
          <w:rFonts w:hint="eastAsia" w:ascii="Times New Roman" w:hAnsi="Times New Roman" w:eastAsia="仿宋_GB2312" w:cs="Times New Roman"/>
          <w:bCs/>
          <w:sz w:val="32"/>
          <w:szCs w:val="20"/>
          <w:u w:val="none"/>
          <w:lang w:eastAsia="zh-CN"/>
        </w:rPr>
        <w:t>”“</w:t>
      </w:r>
      <w:r>
        <w:rPr>
          <w:rStyle w:val="6"/>
          <w:rFonts w:hint="eastAsia" w:ascii="Times New Roman" w:hAnsi="Times New Roman" w:eastAsia="仿宋_GB2312" w:cs="Times New Roman"/>
          <w:bCs/>
          <w:sz w:val="32"/>
          <w:szCs w:val="20"/>
          <w:u w:val="none"/>
          <w:lang w:val="en-US" w:eastAsia="zh-CN"/>
        </w:rPr>
        <w:t>AI+</w:t>
      </w:r>
      <w:r>
        <w:rPr>
          <w:rStyle w:val="6"/>
          <w:rFonts w:hint="eastAsia" w:eastAsia="仿宋_GB2312" w:cs="Times New Roman"/>
          <w:bCs/>
          <w:sz w:val="32"/>
          <w:szCs w:val="20"/>
          <w:u w:val="none"/>
          <w:lang w:val="en-US" w:eastAsia="zh-CN"/>
        </w:rPr>
        <w:t>农房登记</w:t>
      </w:r>
      <w:r>
        <w:rPr>
          <w:rStyle w:val="6"/>
          <w:rFonts w:hint="eastAsia" w:ascii="Times New Roman" w:hAnsi="Times New Roman" w:eastAsia="仿宋_GB2312" w:cs="Times New Roman"/>
          <w:bCs/>
          <w:sz w:val="32"/>
          <w:szCs w:val="20"/>
          <w:u w:val="none"/>
          <w:lang w:eastAsia="zh-CN"/>
        </w:rPr>
        <w:t>”</w:t>
      </w:r>
      <w:r>
        <w:rPr>
          <w:rStyle w:val="6"/>
          <w:rFonts w:hint="eastAsia" w:ascii="Times New Roman" w:hAnsi="Times New Roman" w:eastAsia="仿宋_GB2312" w:cs="Times New Roman"/>
          <w:bCs/>
          <w:sz w:val="32"/>
          <w:szCs w:val="20"/>
          <w:u w:val="none"/>
        </w:rPr>
        <w:t>等一批“小巧灵”应用场景。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</w:rPr>
        <w:t>夯实</w:t>
      </w:r>
      <w:r>
        <w:rPr>
          <w:rFonts w:hint="eastAsia" w:eastAsia="仿宋_GB2312"/>
          <w:b/>
          <w:bCs/>
          <w:sz w:val="32"/>
          <w:szCs w:val="44"/>
          <w:u w:val="none"/>
        </w:rPr>
        <w:t>调查确权基础作用。</w:t>
      </w:r>
      <w:r>
        <w:rPr>
          <w:rFonts w:hint="eastAsia" w:eastAsia="仿宋_GB2312"/>
          <w:sz w:val="32"/>
          <w:u w:val="none"/>
          <w:lang w:val="en-US" w:eastAsia="zh-CN"/>
        </w:rPr>
        <w:t>深化特色调查试点，全面完成水资</w:t>
      </w:r>
      <w:r>
        <w:rPr>
          <w:rFonts w:hint="eastAsia" w:eastAsia="仿宋_GB2312"/>
          <w:sz w:val="32"/>
          <w:u w:val="none"/>
        </w:rPr>
        <w:t>源基础调查工作任务，系统梳理形成全市水资源统一“底数”。落实国土变更调查和林草湿调查监测协同机制，确保调查成果的准确性、现势性、一体性。持续做好自然资源确权登记成果转化，探索更多</w:t>
      </w:r>
      <w:r>
        <w:rPr>
          <w:rFonts w:hint="eastAsia" w:eastAsia="仿宋_GB2312"/>
          <w:sz w:val="32"/>
          <w:u w:val="none"/>
          <w:lang w:val="en-US" w:eastAsia="zh-CN"/>
        </w:rPr>
        <w:t>实际</w:t>
      </w:r>
      <w:r>
        <w:rPr>
          <w:rFonts w:hint="eastAsia" w:eastAsia="仿宋_GB2312"/>
          <w:sz w:val="32"/>
          <w:u w:val="none"/>
        </w:rPr>
        <w:t>应用。</w:t>
      </w:r>
    </w:p>
    <w:p w14:paraId="2D3C8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eastAsia="仿宋_GB2312"/>
          <w:sz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u w:val="none"/>
        </w:rPr>
        <w:t>五是聚焦以人民为中心，深入开展自然为民行动。</w:t>
      </w:r>
      <w:r>
        <w:rPr>
          <w:rFonts w:hint="eastAsia" w:eastAsia="仿宋_GB2312"/>
          <w:b/>
          <w:bCs/>
          <w:sz w:val="32"/>
          <w:szCs w:val="44"/>
          <w:u w:val="none"/>
        </w:rPr>
        <w:t>支持乡村振兴。</w:t>
      </w:r>
      <w:r>
        <w:rPr>
          <w:rFonts w:hint="eastAsia" w:eastAsia="仿宋_GB2312"/>
          <w:sz w:val="32"/>
          <w:u w:val="none"/>
        </w:rPr>
        <w:t>稳妥有序调整公布新一轮征地区片综合地价，做好新旧标准衔接过渡，</w:t>
      </w:r>
      <w:r>
        <w:rPr>
          <w:rFonts w:hint="eastAsia" w:eastAsia="仿宋_GB2312"/>
          <w:sz w:val="32"/>
          <w:u w:val="none"/>
          <w:lang w:val="en-US" w:eastAsia="zh-CN"/>
        </w:rPr>
        <w:t>依法依规落实被征地农民补偿安置</w:t>
      </w:r>
      <w:r>
        <w:rPr>
          <w:rFonts w:hint="eastAsia" w:eastAsia="仿宋_GB2312"/>
          <w:sz w:val="32"/>
          <w:u w:val="none"/>
        </w:rPr>
        <w:t>。全域开展农村集体经营性建设用地入市，</w:t>
      </w:r>
      <w:r>
        <w:rPr>
          <w:rFonts w:hint="eastAsia" w:eastAsia="仿宋_GB2312"/>
          <w:sz w:val="32"/>
          <w:u w:val="none"/>
          <w:lang w:val="en-US" w:eastAsia="zh-CN"/>
        </w:rPr>
        <w:t>打通</w:t>
      </w:r>
      <w:r>
        <w:rPr>
          <w:rFonts w:hint="eastAsia" w:eastAsia="仿宋_GB2312"/>
          <w:sz w:val="32"/>
          <w:u w:val="none"/>
        </w:rPr>
        <w:t>集体土地与国有土地之间的置换路径，健全土地增值收益分配机制，切实将更多收益留给农民、留在农村。</w:t>
      </w:r>
      <w:r>
        <w:rPr>
          <w:rFonts w:hint="eastAsia" w:ascii="仿宋_GB2312" w:hAnsi="仿宋_GB2312" w:eastAsia="仿宋_GB2312" w:cs="仿宋_GB2312"/>
          <w:b/>
          <w:sz w:val="32"/>
          <w:szCs w:val="44"/>
          <w:u w:val="none"/>
        </w:rPr>
        <w:t>优</w:t>
      </w:r>
      <w:r>
        <w:rPr>
          <w:rFonts w:hint="eastAsia" w:eastAsia="仿宋_GB2312"/>
          <w:b/>
          <w:bCs/>
          <w:sz w:val="32"/>
          <w:szCs w:val="44"/>
          <w:u w:val="none"/>
        </w:rPr>
        <w:t>化登记服务。</w:t>
      </w:r>
      <w:r>
        <w:rPr>
          <w:rFonts w:hint="eastAsia" w:eastAsia="仿宋_GB2312"/>
          <w:sz w:val="32"/>
          <w:u w:val="none"/>
        </w:rPr>
        <w:t>擦亮“苏易登”服务品牌，深入推进分幢（层）登记、预告登记、交地即发证等惠企服务，支持企业早动工、易融资、快投产；</w:t>
      </w:r>
      <w:r>
        <w:rPr>
          <w:rFonts w:hint="eastAsia" w:eastAsia="仿宋_GB2312"/>
          <w:sz w:val="32"/>
          <w:u w:val="none"/>
          <w:lang w:val="en-US" w:eastAsia="zh-CN"/>
        </w:rPr>
        <w:t>扎实</w:t>
      </w:r>
      <w:r>
        <w:rPr>
          <w:rFonts w:hint="eastAsia" w:eastAsia="仿宋_GB2312"/>
          <w:sz w:val="32"/>
          <w:u w:val="none"/>
        </w:rPr>
        <w:t>做好全程网办、跨省通办、带押过户等便民举措，增强群众满意度、获得感。</w:t>
      </w:r>
      <w:r>
        <w:rPr>
          <w:rFonts w:hint="eastAsia" w:eastAsia="仿宋_GB2312"/>
          <w:sz w:val="32"/>
          <w:u w:val="none"/>
          <w:lang w:val="en-US" w:eastAsia="zh-CN"/>
        </w:rPr>
        <w:t>持续攻坚</w:t>
      </w:r>
      <w:r>
        <w:rPr>
          <w:rFonts w:hint="eastAsia" w:eastAsia="仿宋_GB2312"/>
          <w:sz w:val="32"/>
          <w:u w:val="none"/>
        </w:rPr>
        <w:t>不动产登记历史遗留问题化解，</w:t>
      </w:r>
      <w:r>
        <w:rPr>
          <w:rFonts w:hint="eastAsia" w:eastAsia="仿宋_GB2312"/>
          <w:sz w:val="32"/>
          <w:u w:val="none"/>
          <w:lang w:val="en-US" w:eastAsia="zh-CN"/>
        </w:rPr>
        <w:t>有序推动国有资产不动产确权办证，</w:t>
      </w:r>
      <w:r>
        <w:rPr>
          <w:rFonts w:hint="eastAsia" w:eastAsia="仿宋_GB2312"/>
          <w:sz w:val="32"/>
          <w:u w:val="none"/>
        </w:rPr>
        <w:t>助力存量闲置资产盘活利用。</w:t>
      </w:r>
      <w:r>
        <w:rPr>
          <w:rFonts w:hint="eastAsia" w:eastAsia="仿宋_GB2312"/>
          <w:b/>
          <w:bCs/>
          <w:sz w:val="32"/>
          <w:szCs w:val="44"/>
          <w:u w:val="none"/>
        </w:rPr>
        <w:t>化解信访矛盾。</w:t>
      </w:r>
      <w:r>
        <w:rPr>
          <w:rFonts w:hint="eastAsia" w:eastAsia="仿宋_GB2312"/>
          <w:sz w:val="32"/>
          <w:u w:val="none"/>
        </w:rPr>
        <w:t>坚持领导包案、上下联动，用心用情化解</w:t>
      </w:r>
      <w:r>
        <w:rPr>
          <w:rFonts w:hint="eastAsia" w:eastAsia="仿宋_GB2312"/>
          <w:sz w:val="32"/>
          <w:u w:val="none"/>
          <w:lang w:val="en-US" w:eastAsia="zh-CN"/>
        </w:rPr>
        <w:t>更多</w:t>
      </w:r>
      <w:r>
        <w:rPr>
          <w:rFonts w:hint="eastAsia" w:eastAsia="仿宋_GB2312"/>
          <w:sz w:val="32"/>
          <w:u w:val="none"/>
        </w:rPr>
        <w:t>历史遗留</w:t>
      </w:r>
      <w:r>
        <w:rPr>
          <w:rFonts w:hint="eastAsia" w:eastAsia="仿宋_GB2312"/>
          <w:sz w:val="32"/>
          <w:u w:val="none"/>
          <w:lang w:val="en-US" w:eastAsia="zh-CN"/>
        </w:rPr>
        <w:t>难题</w:t>
      </w:r>
      <w:r>
        <w:rPr>
          <w:rFonts w:hint="eastAsia" w:eastAsia="仿宋_GB2312"/>
          <w:sz w:val="32"/>
          <w:u w:val="none"/>
        </w:rPr>
        <w:t>。持续开展信访问题源头治理，依法分类处理信访诉求，实现矛盾风险隐患发现在“早”、处置在“小”</w:t>
      </w:r>
      <w:r>
        <w:rPr>
          <w:rFonts w:hint="eastAsia" w:eastAsia="仿宋_GB2312"/>
          <w:sz w:val="32"/>
          <w:u w:val="none"/>
          <w:lang w:eastAsia="zh-CN"/>
        </w:rPr>
        <w:t>。</w:t>
      </w:r>
    </w:p>
    <w:p w14:paraId="2FCE7B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F85ECC"/>
    <w:rsid w:val="10F85ECC"/>
    <w:rsid w:val="491D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ind w:left="135"/>
    </w:pPr>
    <w:rPr>
      <w:rFonts w:ascii="宋体" w:hAnsi="宋体" w:cs="宋体"/>
      <w:sz w:val="28"/>
      <w:szCs w:val="21"/>
    </w:rPr>
  </w:style>
  <w:style w:type="paragraph" w:styleId="3">
    <w:name w:val="Body Text First Indent"/>
    <w:basedOn w:val="2"/>
    <w:next w:val="2"/>
    <w:unhideWhenUsed/>
    <w:qFormat/>
    <w:uiPriority w:val="99"/>
    <w:pPr>
      <w:autoSpaceDE w:val="0"/>
      <w:autoSpaceDN w:val="0"/>
      <w:adjustRightInd w:val="0"/>
      <w:spacing w:before="33" w:line="600" w:lineRule="exact"/>
      <w:ind w:left="111" w:firstLine="420" w:firstLineChars="100"/>
      <w:jc w:val="left"/>
    </w:pPr>
    <w:rPr>
      <w:rFonts w:ascii="??_GB2312" w:hAnsi="Calibri" w:cs="??_GB2312"/>
      <w:kern w:val="0"/>
      <w:szCs w:val="32"/>
    </w:rPr>
  </w:style>
  <w:style w:type="character" w:customStyle="1" w:styleId="6">
    <w:name w:val="NormalCharacter"/>
    <w:unhideWhenUsed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2026-10-09T02:09:00Z</dcterms:created>
  <dc:creator>Logan</dc:creator>
  <cp:lastModifiedBy>Logan</cp:lastModifiedBy>
  <dcterms:modified xsi:type="dcterms:W3CDTF">2026-10-09T02:17:15Z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C4F0E64FD31B4FF3945014C28352E621_11</vt:lpwstr>
  </property>
  <property fmtid="{D5CDD505-2E9C-101B-9397-08002B2CF9AE}" pid="4" name="KSOTemplateDocerSaveRecord">
    <vt:lpwstr>eyJoZGlkIjoiYzBiMmIxYmI1ZjI2YWNjNTgzMTM3Y2YwM2U5MGU4NDciLCJ1c2VySWQiOiI3NDczOTE3NzUifQ==</vt:lpwstr>
  </property>
</Properties>
</file>