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AA7" w:rsidRDefault="00EE53CA" w:rsidP="00BE4C2C">
      <w:pPr>
        <w:widowControl/>
        <w:spacing w:line="560" w:lineRule="exact"/>
        <w:jc w:val="center"/>
        <w:rPr>
          <w:rFonts w:ascii="方正小标宋_GBK" w:eastAsia="方正小标宋_GBK" w:hAnsi="仿宋" w:cs="Times New Roman" w:hint="eastAsia"/>
          <w:bCs/>
          <w:kern w:val="0"/>
          <w:sz w:val="44"/>
          <w:szCs w:val="44"/>
        </w:rPr>
      </w:pPr>
      <w:r w:rsidRPr="00143342">
        <w:rPr>
          <w:rFonts w:ascii="方正小标宋_GBK" w:eastAsia="方正小标宋_GBK" w:hAnsi="仿宋" w:cs="Times New Roman" w:hint="eastAsia"/>
          <w:bCs/>
          <w:kern w:val="0"/>
          <w:sz w:val="44"/>
          <w:szCs w:val="44"/>
        </w:rPr>
        <w:t>苏州</w:t>
      </w:r>
      <w:r w:rsidR="00CD3AA7" w:rsidRPr="00143342">
        <w:rPr>
          <w:rFonts w:ascii="方正小标宋_GBK" w:eastAsia="方正小标宋_GBK" w:hAnsi="仿宋" w:cs="Times New Roman" w:hint="eastAsia"/>
          <w:bCs/>
          <w:kern w:val="0"/>
          <w:sz w:val="44"/>
          <w:szCs w:val="44"/>
        </w:rPr>
        <w:t>市大型游乐设施运营安全管理办法</w:t>
      </w:r>
    </w:p>
    <w:p w:rsidR="00A1648E" w:rsidRPr="00A1648E" w:rsidRDefault="00A1648E" w:rsidP="00BE4C2C">
      <w:pPr>
        <w:widowControl/>
        <w:spacing w:line="560" w:lineRule="exact"/>
        <w:jc w:val="center"/>
        <w:rPr>
          <w:rFonts w:ascii="方正小标宋_GBK" w:eastAsia="方正小标宋_GBK" w:hAnsi="仿宋" w:cs="Times New Roman"/>
          <w:bCs/>
          <w:kern w:val="0"/>
          <w:sz w:val="44"/>
          <w:szCs w:val="44"/>
        </w:rPr>
      </w:pPr>
      <w:r>
        <w:rPr>
          <w:rFonts w:ascii="方正小标宋_GBK" w:eastAsia="方正小标宋_GBK" w:hAnsi="仿宋" w:cs="Times New Roman" w:hint="eastAsia"/>
          <w:bCs/>
          <w:kern w:val="0"/>
          <w:sz w:val="44"/>
          <w:szCs w:val="44"/>
        </w:rPr>
        <w:t>（征求意见稿</w:t>
      </w:r>
      <w:bookmarkStart w:id="0" w:name="_GoBack"/>
      <w:bookmarkEnd w:id="0"/>
      <w:r>
        <w:rPr>
          <w:rFonts w:ascii="方正小标宋_GBK" w:eastAsia="方正小标宋_GBK" w:hAnsi="仿宋" w:cs="Times New Roman" w:hint="eastAsia"/>
          <w:bCs/>
          <w:kern w:val="0"/>
          <w:sz w:val="44"/>
          <w:szCs w:val="44"/>
        </w:rPr>
        <w:t>）</w:t>
      </w:r>
    </w:p>
    <w:p w:rsidR="00EE53CA" w:rsidRPr="00143342" w:rsidRDefault="00EE53CA" w:rsidP="002D1949">
      <w:pPr>
        <w:widowControl/>
        <w:spacing w:line="560" w:lineRule="exact"/>
        <w:ind w:firstLineChars="200" w:firstLine="640"/>
        <w:jc w:val="left"/>
        <w:rPr>
          <w:rFonts w:ascii="华文仿宋" w:eastAsia="华文仿宋" w:hAnsi="华文仿宋" w:cs="宋体"/>
          <w:color w:val="333333"/>
          <w:kern w:val="0"/>
          <w:sz w:val="32"/>
          <w:szCs w:val="32"/>
        </w:rPr>
      </w:pPr>
    </w:p>
    <w:p w:rsidR="00CD3AA7" w:rsidRPr="00143342" w:rsidRDefault="00CD3AA7" w:rsidP="002D1949">
      <w:pPr>
        <w:widowControl/>
        <w:spacing w:line="560" w:lineRule="exact"/>
        <w:ind w:firstLineChars="200" w:firstLine="640"/>
        <w:rPr>
          <w:rFonts w:ascii="仿宋_GB2312" w:eastAsia="仿宋_GB2312" w:hAnsi="华文仿宋" w:cs="宋体"/>
          <w:color w:val="333333"/>
          <w:kern w:val="0"/>
          <w:sz w:val="32"/>
          <w:szCs w:val="32"/>
        </w:rPr>
      </w:pPr>
      <w:r w:rsidRPr="002D1949">
        <w:rPr>
          <w:rFonts w:ascii="黑体" w:eastAsia="黑体" w:hAnsi="黑体" w:cs="宋体" w:hint="eastAsia"/>
          <w:color w:val="333333"/>
          <w:kern w:val="0"/>
          <w:sz w:val="32"/>
          <w:szCs w:val="32"/>
        </w:rPr>
        <w:t>第一条</w:t>
      </w:r>
      <w:r w:rsidR="005E46FC">
        <w:rPr>
          <w:rFonts w:ascii="黑体" w:eastAsia="黑体" w:hAnsi="黑体" w:cs="宋体" w:hint="eastAsia"/>
          <w:color w:val="333333"/>
          <w:kern w:val="0"/>
          <w:sz w:val="32"/>
          <w:szCs w:val="32"/>
        </w:rPr>
        <w:t xml:space="preserve"> </w:t>
      </w:r>
      <w:r w:rsidRPr="00143342">
        <w:rPr>
          <w:rFonts w:ascii="仿宋_GB2312" w:eastAsia="仿宋_GB2312" w:hAnsi="华文仿宋" w:cs="宋体" w:hint="eastAsia"/>
          <w:color w:val="333333"/>
          <w:kern w:val="0"/>
          <w:sz w:val="32"/>
          <w:szCs w:val="32"/>
        </w:rPr>
        <w:t>为了加强大型游乐设施运营安全管理工作，防止和减少事故，保障人身和财产安全，根据《中华人民共和国特种设备安全法》《特种设备安全监察条例》《大型游乐设施安全监察规定》等有关法律法规规章，制定本办法。</w:t>
      </w:r>
    </w:p>
    <w:p w:rsidR="00EE53CA" w:rsidRPr="00BE4C2C" w:rsidRDefault="00CD3AA7" w:rsidP="00BE4C2C">
      <w:pPr>
        <w:widowControl/>
        <w:spacing w:line="560" w:lineRule="exact"/>
        <w:ind w:firstLineChars="200" w:firstLine="640"/>
        <w:rPr>
          <w:rFonts w:ascii="仿宋_GB2312" w:eastAsia="仿宋_GB2312" w:hAnsi="华文仿宋" w:cs="宋体"/>
          <w:color w:val="333333"/>
          <w:kern w:val="0"/>
          <w:sz w:val="32"/>
          <w:szCs w:val="32"/>
        </w:rPr>
      </w:pPr>
      <w:r w:rsidRPr="002D1949">
        <w:rPr>
          <w:rFonts w:ascii="黑体" w:eastAsia="黑体" w:hAnsi="黑体" w:cs="宋体" w:hint="eastAsia"/>
          <w:color w:val="333333"/>
          <w:kern w:val="0"/>
          <w:sz w:val="32"/>
          <w:szCs w:val="32"/>
        </w:rPr>
        <w:t>第二条</w:t>
      </w:r>
      <w:r w:rsidR="005E46FC">
        <w:rPr>
          <w:rFonts w:ascii="黑体" w:eastAsia="黑体" w:hAnsi="黑体" w:cs="宋体" w:hint="eastAsia"/>
          <w:color w:val="333333"/>
          <w:kern w:val="0"/>
          <w:sz w:val="32"/>
          <w:szCs w:val="32"/>
        </w:rPr>
        <w:t xml:space="preserve"> </w:t>
      </w:r>
      <w:r w:rsidRPr="00143342">
        <w:rPr>
          <w:rFonts w:ascii="仿宋_GB2312" w:eastAsia="仿宋_GB2312" w:hAnsi="华文仿宋" w:cs="宋体" w:hint="eastAsia"/>
          <w:color w:val="333333"/>
          <w:kern w:val="0"/>
          <w:sz w:val="32"/>
          <w:szCs w:val="32"/>
        </w:rPr>
        <w:t>本办法适用于本市行政区域内大型游乐设施运营的安全管理。</w:t>
      </w:r>
      <w:r w:rsidR="00EE53CA" w:rsidRPr="00143342">
        <w:rPr>
          <w:rFonts w:ascii="仿宋_GB2312" w:eastAsia="仿宋_GB2312" w:hAnsi="华文仿宋" w:hint="eastAsia"/>
          <w:color w:val="333333"/>
          <w:sz w:val="32"/>
          <w:szCs w:val="32"/>
        </w:rPr>
        <w:t>本办法所称的大型游乐设施，是指《特种设备目录》范围内用于经营目的，承载乘客游乐的设施，其范围规定为设计最大运行线速度大于或者等于2m/s，或者运行高度距地面高于或者等于2m的载人大型游乐设施。用于体育运动、文艺演出和非经营活动的大型游乐设施除外。</w:t>
      </w:r>
    </w:p>
    <w:p w:rsidR="00CD3AA7" w:rsidRPr="00143342" w:rsidRDefault="00CD3AA7" w:rsidP="002D1949">
      <w:pPr>
        <w:widowControl/>
        <w:spacing w:line="560" w:lineRule="exact"/>
        <w:ind w:firstLineChars="200" w:firstLine="640"/>
        <w:rPr>
          <w:rFonts w:ascii="仿宋_GB2312" w:eastAsia="仿宋_GB2312" w:hAnsi="华文仿宋" w:cs="宋体"/>
          <w:color w:val="333333"/>
          <w:kern w:val="0"/>
          <w:sz w:val="32"/>
          <w:szCs w:val="32"/>
        </w:rPr>
      </w:pPr>
      <w:r w:rsidRPr="002D1949">
        <w:rPr>
          <w:rFonts w:ascii="黑体" w:eastAsia="黑体" w:hAnsi="黑体" w:cs="宋体" w:hint="eastAsia"/>
          <w:color w:val="333333"/>
          <w:kern w:val="0"/>
          <w:sz w:val="32"/>
          <w:szCs w:val="32"/>
        </w:rPr>
        <w:t>第三条</w:t>
      </w:r>
      <w:r w:rsidR="005E46FC">
        <w:rPr>
          <w:rFonts w:ascii="黑体" w:eastAsia="黑体" w:hAnsi="黑体" w:cs="宋体" w:hint="eastAsia"/>
          <w:color w:val="333333"/>
          <w:kern w:val="0"/>
          <w:sz w:val="32"/>
          <w:szCs w:val="32"/>
        </w:rPr>
        <w:t xml:space="preserve"> </w:t>
      </w:r>
      <w:r w:rsidRPr="00143342">
        <w:rPr>
          <w:rFonts w:ascii="仿宋_GB2312" w:eastAsia="仿宋_GB2312" w:hAnsi="华文仿宋" w:cs="宋体" w:hint="eastAsia"/>
          <w:color w:val="333333"/>
          <w:kern w:val="0"/>
          <w:sz w:val="32"/>
          <w:szCs w:val="32"/>
        </w:rPr>
        <w:t>运营使用单位，是指从事大型游乐设施日常经营管理的，向市场监督管理部门办理使用登记的企业、个体工商户。</w:t>
      </w:r>
    </w:p>
    <w:p w:rsidR="00CD3AA7" w:rsidRPr="00143342" w:rsidRDefault="00CD3AA7" w:rsidP="002D1949">
      <w:pPr>
        <w:widowControl/>
        <w:spacing w:line="560" w:lineRule="exact"/>
        <w:ind w:firstLineChars="200" w:firstLine="640"/>
        <w:rPr>
          <w:rFonts w:ascii="仿宋_GB2312" w:eastAsia="仿宋_GB2312" w:hAnsi="华文仿宋" w:cs="宋体"/>
          <w:color w:val="333333"/>
          <w:kern w:val="0"/>
          <w:sz w:val="32"/>
          <w:szCs w:val="32"/>
        </w:rPr>
      </w:pPr>
      <w:r w:rsidRPr="002D1949">
        <w:rPr>
          <w:rFonts w:ascii="黑体" w:eastAsia="黑体" w:hAnsi="黑体" w:cs="宋体" w:hint="eastAsia"/>
          <w:color w:val="333333"/>
          <w:kern w:val="0"/>
          <w:sz w:val="32"/>
          <w:szCs w:val="32"/>
        </w:rPr>
        <w:t>第四条</w:t>
      </w:r>
      <w:r w:rsidR="005E46FC">
        <w:rPr>
          <w:rFonts w:ascii="黑体" w:eastAsia="黑体" w:hAnsi="黑体" w:cs="宋体" w:hint="eastAsia"/>
          <w:color w:val="333333"/>
          <w:kern w:val="0"/>
          <w:sz w:val="32"/>
          <w:szCs w:val="32"/>
        </w:rPr>
        <w:t xml:space="preserve"> </w:t>
      </w:r>
      <w:r w:rsidR="00EE53CA" w:rsidRPr="00143342">
        <w:rPr>
          <w:rFonts w:ascii="仿宋_GB2312" w:eastAsia="仿宋_GB2312" w:hAnsi="华文仿宋" w:cs="宋体" w:hint="eastAsia"/>
          <w:color w:val="333333"/>
          <w:kern w:val="0"/>
          <w:sz w:val="32"/>
          <w:szCs w:val="32"/>
        </w:rPr>
        <w:t>大型游乐设施的安装过程应当按照安全技术规范规定的范围、项目和要求,由特种设备检验机构在企业自检的基础上进行安装监督检验；未经安装监督检验合格的不得交付使用；运营使用单位不得擅自使用未经安装监督检验合格的大型游乐设施。</w:t>
      </w:r>
    </w:p>
    <w:p w:rsidR="00EE53CA" w:rsidRPr="00143342" w:rsidRDefault="00CD3AA7" w:rsidP="00BE4C2C">
      <w:pPr>
        <w:widowControl/>
        <w:spacing w:line="560" w:lineRule="exact"/>
        <w:ind w:firstLineChars="200" w:firstLine="640"/>
        <w:rPr>
          <w:rFonts w:ascii="仿宋_GB2312" w:eastAsia="仿宋_GB2312" w:hAnsi="华文仿宋" w:cs="宋体"/>
          <w:color w:val="333333"/>
          <w:kern w:val="0"/>
          <w:sz w:val="32"/>
          <w:szCs w:val="32"/>
        </w:rPr>
      </w:pPr>
      <w:r w:rsidRPr="002D1949">
        <w:rPr>
          <w:rFonts w:ascii="黑体" w:eastAsia="黑体" w:hAnsi="黑体" w:cs="宋体" w:hint="eastAsia"/>
          <w:color w:val="333333"/>
          <w:kern w:val="0"/>
          <w:sz w:val="32"/>
          <w:szCs w:val="32"/>
        </w:rPr>
        <w:t>第五条</w:t>
      </w:r>
      <w:r w:rsidR="005E46FC">
        <w:rPr>
          <w:rFonts w:ascii="黑体" w:eastAsia="黑体" w:hAnsi="黑体" w:cs="宋体" w:hint="eastAsia"/>
          <w:color w:val="333333"/>
          <w:kern w:val="0"/>
          <w:sz w:val="32"/>
          <w:szCs w:val="32"/>
        </w:rPr>
        <w:t xml:space="preserve"> </w:t>
      </w:r>
      <w:r w:rsidRPr="00143342">
        <w:rPr>
          <w:rFonts w:ascii="仿宋_GB2312" w:eastAsia="仿宋_GB2312" w:hAnsi="华文仿宋" w:cs="宋体" w:hint="eastAsia"/>
          <w:color w:val="333333"/>
          <w:kern w:val="0"/>
          <w:sz w:val="32"/>
          <w:szCs w:val="32"/>
        </w:rPr>
        <w:t>大型游乐设施在投入使用前或者投入使用30日内，运营使用单位应当向所在地的区、县（市）市场监督管理部门办理使用登记。移动式大型游乐设施在每次重新安装投入使用前或</w:t>
      </w:r>
      <w:r w:rsidRPr="00143342">
        <w:rPr>
          <w:rFonts w:ascii="仿宋_GB2312" w:eastAsia="仿宋_GB2312" w:hAnsi="华文仿宋" w:cs="宋体" w:hint="eastAsia"/>
          <w:color w:val="333333"/>
          <w:kern w:val="0"/>
          <w:sz w:val="32"/>
          <w:szCs w:val="32"/>
        </w:rPr>
        <w:lastRenderedPageBreak/>
        <w:t>者投入使用后30日内，运营使用单位为应当向所在地的区、县（市）市场监督管理部门办理使用登记；移动式大型游乐设施拆卸后，应当向原使用登记部门办理注销手续。运营使用单位应当将登记标志置于大型游乐设施进出口处等显著位置。</w:t>
      </w:r>
    </w:p>
    <w:p w:rsidR="00CD3AA7" w:rsidRPr="00143342" w:rsidRDefault="00CD3AA7" w:rsidP="00BE4C2C">
      <w:pPr>
        <w:widowControl/>
        <w:spacing w:line="560" w:lineRule="exact"/>
        <w:ind w:firstLineChars="200" w:firstLine="640"/>
        <w:rPr>
          <w:rFonts w:ascii="仿宋_GB2312" w:eastAsia="仿宋_GB2312" w:hAnsi="华文仿宋" w:cs="宋体"/>
          <w:color w:val="333333"/>
          <w:kern w:val="0"/>
          <w:sz w:val="32"/>
          <w:szCs w:val="32"/>
        </w:rPr>
      </w:pPr>
      <w:r w:rsidRPr="002D1949">
        <w:rPr>
          <w:rFonts w:ascii="黑体" w:eastAsia="黑体" w:hAnsi="黑体" w:cs="宋体" w:hint="eastAsia"/>
          <w:color w:val="333333"/>
          <w:kern w:val="0"/>
          <w:sz w:val="32"/>
          <w:szCs w:val="32"/>
        </w:rPr>
        <w:t>第六条</w:t>
      </w:r>
      <w:r w:rsidR="005E46FC">
        <w:rPr>
          <w:rFonts w:ascii="黑体" w:eastAsia="黑体" w:hAnsi="黑体" w:cs="宋体" w:hint="eastAsia"/>
          <w:color w:val="333333"/>
          <w:kern w:val="0"/>
          <w:sz w:val="32"/>
          <w:szCs w:val="32"/>
        </w:rPr>
        <w:t xml:space="preserve"> </w:t>
      </w:r>
      <w:r w:rsidRPr="00143342">
        <w:rPr>
          <w:rFonts w:ascii="仿宋_GB2312" w:eastAsia="仿宋_GB2312" w:hAnsi="华文仿宋" w:cs="宋体" w:hint="eastAsia"/>
          <w:color w:val="333333"/>
          <w:kern w:val="0"/>
          <w:sz w:val="32"/>
          <w:szCs w:val="32"/>
        </w:rPr>
        <w:t>运营使用单位在大型游乐设施安装监督检验完成后1年内，向特种设备检验机构提出首次定期检验申请；在大型游乐设施定期检验周期届满1个月前，运营使用单位向特种设备检验机构提出定期检验要求。特种设备检验机构应当按照安全技术规范的要求进行定期检验。</w:t>
      </w:r>
    </w:p>
    <w:p w:rsidR="00CD3AA7" w:rsidRPr="00143342" w:rsidRDefault="00CD3AA7" w:rsidP="002D1949">
      <w:pPr>
        <w:widowControl/>
        <w:spacing w:line="560" w:lineRule="exact"/>
        <w:ind w:firstLineChars="200" w:firstLine="640"/>
        <w:rPr>
          <w:rFonts w:ascii="仿宋_GB2312" w:eastAsia="仿宋_GB2312" w:hAnsi="华文仿宋" w:cs="宋体"/>
          <w:color w:val="333333"/>
          <w:kern w:val="0"/>
          <w:sz w:val="32"/>
          <w:szCs w:val="32"/>
        </w:rPr>
      </w:pPr>
      <w:r w:rsidRPr="002D1949">
        <w:rPr>
          <w:rFonts w:ascii="黑体" w:eastAsia="黑体" w:hAnsi="黑体" w:cs="宋体" w:hint="eastAsia"/>
          <w:color w:val="333333"/>
          <w:kern w:val="0"/>
          <w:sz w:val="32"/>
          <w:szCs w:val="32"/>
        </w:rPr>
        <w:t>第七条</w:t>
      </w:r>
      <w:r w:rsidR="005E46FC">
        <w:rPr>
          <w:rFonts w:ascii="黑体" w:eastAsia="黑体" w:hAnsi="黑体" w:cs="宋体" w:hint="eastAsia"/>
          <w:color w:val="333333"/>
          <w:kern w:val="0"/>
          <w:sz w:val="32"/>
          <w:szCs w:val="32"/>
        </w:rPr>
        <w:t xml:space="preserve"> </w:t>
      </w:r>
      <w:r w:rsidRPr="00143342">
        <w:rPr>
          <w:rFonts w:ascii="仿宋_GB2312" w:eastAsia="仿宋_GB2312" w:hAnsi="华文仿宋" w:cs="宋体" w:hint="eastAsia"/>
          <w:color w:val="333333"/>
          <w:kern w:val="0"/>
          <w:sz w:val="32"/>
          <w:szCs w:val="32"/>
        </w:rPr>
        <w:t>运营使用单位应当建立健全安全管理制度。安全管理制度包括以下主要内容：</w:t>
      </w:r>
    </w:p>
    <w:p w:rsidR="00CD3AA7" w:rsidRPr="006C725B" w:rsidRDefault="00CD3AA7" w:rsidP="002D1949">
      <w:pPr>
        <w:widowControl/>
        <w:spacing w:line="560" w:lineRule="exact"/>
        <w:ind w:firstLineChars="200" w:firstLine="640"/>
        <w:rPr>
          <w:rFonts w:ascii="仿宋_GB2312" w:eastAsia="仿宋_GB2312" w:hAnsi="华文仿宋" w:cs="宋体"/>
          <w:color w:val="333333"/>
          <w:kern w:val="0"/>
          <w:sz w:val="32"/>
          <w:szCs w:val="32"/>
        </w:rPr>
      </w:pPr>
      <w:r w:rsidRPr="006C725B">
        <w:rPr>
          <w:rFonts w:ascii="仿宋_GB2312" w:eastAsia="仿宋_GB2312" w:hAnsi="华文仿宋" w:cs="宋体" w:hint="eastAsia"/>
          <w:color w:val="333333"/>
          <w:kern w:val="0"/>
          <w:sz w:val="32"/>
          <w:szCs w:val="32"/>
        </w:rPr>
        <w:t>(</w:t>
      </w:r>
      <w:proofErr w:type="gramStart"/>
      <w:r w:rsidRPr="006C725B">
        <w:rPr>
          <w:rFonts w:ascii="仿宋_GB2312" w:eastAsia="仿宋_GB2312" w:hAnsi="华文仿宋" w:cs="宋体" w:hint="eastAsia"/>
          <w:color w:val="333333"/>
          <w:kern w:val="0"/>
          <w:sz w:val="32"/>
          <w:szCs w:val="32"/>
        </w:rPr>
        <w:t>一</w:t>
      </w:r>
      <w:proofErr w:type="gramEnd"/>
      <w:r w:rsidRPr="006C725B">
        <w:rPr>
          <w:rFonts w:ascii="仿宋_GB2312" w:eastAsia="仿宋_GB2312" w:hAnsi="华文仿宋" w:cs="宋体" w:hint="eastAsia"/>
          <w:color w:val="333333"/>
          <w:kern w:val="0"/>
          <w:sz w:val="32"/>
          <w:szCs w:val="32"/>
        </w:rPr>
        <w:t>)技术档案管理制度；</w:t>
      </w:r>
    </w:p>
    <w:p w:rsidR="00CD3AA7" w:rsidRPr="006C725B" w:rsidRDefault="00CD3AA7" w:rsidP="002D1949">
      <w:pPr>
        <w:widowControl/>
        <w:spacing w:line="560" w:lineRule="exact"/>
        <w:ind w:firstLineChars="200" w:firstLine="640"/>
        <w:rPr>
          <w:rFonts w:ascii="仿宋_GB2312" w:eastAsia="仿宋_GB2312" w:hAnsi="华文仿宋" w:cs="宋体"/>
          <w:color w:val="333333"/>
          <w:kern w:val="0"/>
          <w:sz w:val="32"/>
          <w:szCs w:val="32"/>
        </w:rPr>
      </w:pPr>
      <w:r w:rsidRPr="006C725B">
        <w:rPr>
          <w:rFonts w:ascii="仿宋_GB2312" w:eastAsia="仿宋_GB2312" w:hAnsi="华文仿宋" w:cs="宋体" w:hint="eastAsia"/>
          <w:color w:val="333333"/>
          <w:kern w:val="0"/>
          <w:sz w:val="32"/>
          <w:szCs w:val="32"/>
        </w:rPr>
        <w:t>(二)设备管理制度；</w:t>
      </w:r>
    </w:p>
    <w:p w:rsidR="00CD3AA7" w:rsidRPr="006C725B" w:rsidRDefault="00CD3AA7" w:rsidP="002D1949">
      <w:pPr>
        <w:widowControl/>
        <w:spacing w:line="560" w:lineRule="exact"/>
        <w:ind w:firstLineChars="200" w:firstLine="640"/>
        <w:rPr>
          <w:rFonts w:ascii="仿宋_GB2312" w:eastAsia="仿宋_GB2312" w:hAnsi="华文仿宋" w:cs="宋体"/>
          <w:color w:val="333333"/>
          <w:kern w:val="0"/>
          <w:sz w:val="32"/>
          <w:szCs w:val="32"/>
        </w:rPr>
      </w:pPr>
      <w:r w:rsidRPr="006C725B">
        <w:rPr>
          <w:rFonts w:ascii="仿宋_GB2312" w:eastAsia="仿宋_GB2312" w:hAnsi="华文仿宋" w:cs="宋体" w:hint="eastAsia"/>
          <w:color w:val="333333"/>
          <w:kern w:val="0"/>
          <w:sz w:val="32"/>
          <w:szCs w:val="32"/>
        </w:rPr>
        <w:t>(三)安全操作规程；</w:t>
      </w:r>
    </w:p>
    <w:p w:rsidR="00CD3AA7" w:rsidRPr="006C725B" w:rsidRDefault="00CD3AA7" w:rsidP="002D1949">
      <w:pPr>
        <w:widowControl/>
        <w:spacing w:line="560" w:lineRule="exact"/>
        <w:ind w:firstLineChars="200" w:firstLine="640"/>
        <w:rPr>
          <w:rFonts w:ascii="仿宋_GB2312" w:eastAsia="仿宋_GB2312" w:hAnsi="华文仿宋" w:cs="宋体"/>
          <w:color w:val="333333"/>
          <w:kern w:val="0"/>
          <w:sz w:val="32"/>
          <w:szCs w:val="32"/>
        </w:rPr>
      </w:pPr>
      <w:r w:rsidRPr="006C725B">
        <w:rPr>
          <w:rFonts w:ascii="仿宋_GB2312" w:eastAsia="仿宋_GB2312" w:hAnsi="华文仿宋" w:cs="宋体" w:hint="eastAsia"/>
          <w:color w:val="333333"/>
          <w:kern w:val="0"/>
          <w:sz w:val="32"/>
          <w:szCs w:val="32"/>
        </w:rPr>
        <w:t>(四)日常安全检查制度；</w:t>
      </w:r>
    </w:p>
    <w:p w:rsidR="00CD3AA7" w:rsidRPr="006C725B" w:rsidRDefault="00CD3AA7" w:rsidP="002D1949">
      <w:pPr>
        <w:widowControl/>
        <w:spacing w:line="560" w:lineRule="exact"/>
        <w:ind w:firstLineChars="200" w:firstLine="640"/>
        <w:rPr>
          <w:rFonts w:ascii="仿宋_GB2312" w:eastAsia="仿宋_GB2312" w:hAnsi="华文仿宋" w:cs="宋体"/>
          <w:color w:val="333333"/>
          <w:kern w:val="0"/>
          <w:sz w:val="32"/>
          <w:szCs w:val="32"/>
        </w:rPr>
      </w:pPr>
      <w:r w:rsidRPr="006C725B">
        <w:rPr>
          <w:rFonts w:ascii="仿宋_GB2312" w:eastAsia="仿宋_GB2312" w:hAnsi="华文仿宋" w:cs="宋体" w:hint="eastAsia"/>
          <w:color w:val="333333"/>
          <w:kern w:val="0"/>
          <w:sz w:val="32"/>
          <w:szCs w:val="32"/>
        </w:rPr>
        <w:t>(五)维护保养制度；</w:t>
      </w:r>
    </w:p>
    <w:p w:rsidR="00CD3AA7" w:rsidRPr="006C725B" w:rsidRDefault="00CD3AA7" w:rsidP="002D1949">
      <w:pPr>
        <w:widowControl/>
        <w:spacing w:line="560" w:lineRule="exact"/>
        <w:ind w:firstLineChars="200" w:firstLine="640"/>
        <w:rPr>
          <w:rFonts w:ascii="仿宋_GB2312" w:eastAsia="仿宋_GB2312" w:hAnsi="华文仿宋" w:cs="宋体"/>
          <w:color w:val="333333"/>
          <w:kern w:val="0"/>
          <w:sz w:val="32"/>
          <w:szCs w:val="32"/>
        </w:rPr>
      </w:pPr>
      <w:r w:rsidRPr="006C725B">
        <w:rPr>
          <w:rFonts w:ascii="仿宋_GB2312" w:eastAsia="仿宋_GB2312" w:hAnsi="华文仿宋" w:cs="宋体" w:hint="eastAsia"/>
          <w:color w:val="333333"/>
          <w:kern w:val="0"/>
          <w:sz w:val="32"/>
          <w:szCs w:val="32"/>
        </w:rPr>
        <w:t>(六)定期报检制度；</w:t>
      </w:r>
    </w:p>
    <w:p w:rsidR="00CD3AA7" w:rsidRPr="006C725B" w:rsidRDefault="00CD3AA7" w:rsidP="002D1949">
      <w:pPr>
        <w:widowControl/>
        <w:spacing w:line="560" w:lineRule="exact"/>
        <w:ind w:firstLineChars="200" w:firstLine="640"/>
        <w:rPr>
          <w:rFonts w:ascii="仿宋_GB2312" w:eastAsia="仿宋_GB2312" w:hAnsi="华文仿宋" w:cs="宋体"/>
          <w:color w:val="333333"/>
          <w:kern w:val="0"/>
          <w:sz w:val="32"/>
          <w:szCs w:val="32"/>
        </w:rPr>
      </w:pPr>
      <w:r w:rsidRPr="006C725B">
        <w:rPr>
          <w:rFonts w:ascii="仿宋_GB2312" w:eastAsia="仿宋_GB2312" w:hAnsi="华文仿宋" w:cs="宋体" w:hint="eastAsia"/>
          <w:color w:val="333333"/>
          <w:kern w:val="0"/>
          <w:sz w:val="32"/>
          <w:szCs w:val="32"/>
        </w:rPr>
        <w:t>(七)作业和服务人员守则；</w:t>
      </w:r>
    </w:p>
    <w:p w:rsidR="00CD3AA7" w:rsidRPr="006C725B" w:rsidRDefault="00CD3AA7" w:rsidP="002D1949">
      <w:pPr>
        <w:widowControl/>
        <w:spacing w:line="560" w:lineRule="exact"/>
        <w:ind w:firstLineChars="200" w:firstLine="640"/>
        <w:rPr>
          <w:rFonts w:ascii="仿宋_GB2312" w:eastAsia="仿宋_GB2312" w:hAnsi="华文仿宋" w:cs="宋体"/>
          <w:color w:val="333333"/>
          <w:kern w:val="0"/>
          <w:sz w:val="32"/>
          <w:szCs w:val="32"/>
        </w:rPr>
      </w:pPr>
      <w:r w:rsidRPr="006C725B">
        <w:rPr>
          <w:rFonts w:ascii="仿宋_GB2312" w:eastAsia="仿宋_GB2312" w:hAnsi="华文仿宋" w:cs="宋体" w:hint="eastAsia"/>
          <w:color w:val="333333"/>
          <w:kern w:val="0"/>
          <w:sz w:val="32"/>
          <w:szCs w:val="32"/>
        </w:rPr>
        <w:t>(八)作业人员及相关运营服务人员安全培训考核制度；</w:t>
      </w:r>
    </w:p>
    <w:p w:rsidR="00CD3AA7" w:rsidRPr="006C725B" w:rsidRDefault="00CD3AA7" w:rsidP="002D1949">
      <w:pPr>
        <w:widowControl/>
        <w:spacing w:line="560" w:lineRule="exact"/>
        <w:ind w:firstLineChars="200" w:firstLine="640"/>
        <w:rPr>
          <w:rFonts w:ascii="仿宋_GB2312" w:eastAsia="仿宋_GB2312" w:hAnsi="华文仿宋" w:cs="宋体"/>
          <w:color w:val="333333"/>
          <w:kern w:val="0"/>
          <w:sz w:val="32"/>
          <w:szCs w:val="32"/>
        </w:rPr>
      </w:pPr>
      <w:r w:rsidRPr="006C725B">
        <w:rPr>
          <w:rFonts w:ascii="仿宋_GB2312" w:eastAsia="仿宋_GB2312" w:hAnsi="华文仿宋" w:cs="宋体" w:hint="eastAsia"/>
          <w:color w:val="333333"/>
          <w:kern w:val="0"/>
          <w:sz w:val="32"/>
          <w:szCs w:val="32"/>
        </w:rPr>
        <w:t>(九)应急救援演练制度；</w:t>
      </w:r>
    </w:p>
    <w:p w:rsidR="00CD3AA7" w:rsidRPr="006C725B" w:rsidRDefault="00CD3AA7" w:rsidP="002D1949">
      <w:pPr>
        <w:widowControl/>
        <w:spacing w:line="560" w:lineRule="exact"/>
        <w:ind w:firstLineChars="200" w:firstLine="640"/>
        <w:rPr>
          <w:rFonts w:ascii="仿宋_GB2312" w:eastAsia="仿宋_GB2312" w:hAnsi="华文仿宋" w:cs="宋体"/>
          <w:color w:val="333333"/>
          <w:kern w:val="0"/>
          <w:sz w:val="32"/>
          <w:szCs w:val="32"/>
        </w:rPr>
      </w:pPr>
      <w:r w:rsidRPr="006C725B">
        <w:rPr>
          <w:rFonts w:ascii="仿宋_GB2312" w:eastAsia="仿宋_GB2312" w:hAnsi="华文仿宋" w:cs="宋体" w:hint="eastAsia"/>
          <w:color w:val="333333"/>
          <w:kern w:val="0"/>
          <w:sz w:val="32"/>
          <w:szCs w:val="32"/>
        </w:rPr>
        <w:t>(十)意外事件和事故处理制度；</w:t>
      </w:r>
    </w:p>
    <w:p w:rsidR="00CD3AA7" w:rsidRPr="006C725B" w:rsidRDefault="00CD3AA7" w:rsidP="002D1949">
      <w:pPr>
        <w:widowControl/>
        <w:spacing w:line="560" w:lineRule="exact"/>
        <w:ind w:firstLineChars="200" w:firstLine="640"/>
        <w:rPr>
          <w:rFonts w:ascii="仿宋_GB2312" w:eastAsia="仿宋_GB2312" w:hAnsi="华文仿宋" w:cs="宋体"/>
          <w:color w:val="333333"/>
          <w:kern w:val="0"/>
          <w:sz w:val="32"/>
          <w:szCs w:val="32"/>
        </w:rPr>
      </w:pPr>
      <w:r w:rsidRPr="006C725B">
        <w:rPr>
          <w:rFonts w:ascii="仿宋_GB2312" w:eastAsia="仿宋_GB2312" w:hAnsi="华文仿宋" w:cs="宋体" w:hint="eastAsia"/>
          <w:color w:val="333333"/>
          <w:kern w:val="0"/>
          <w:sz w:val="32"/>
          <w:szCs w:val="32"/>
        </w:rPr>
        <w:t>(十一)其他。</w:t>
      </w:r>
    </w:p>
    <w:p w:rsidR="00CD3AA7" w:rsidRPr="00143342" w:rsidRDefault="00CD3AA7" w:rsidP="002D1949">
      <w:pPr>
        <w:widowControl/>
        <w:spacing w:line="560" w:lineRule="exact"/>
        <w:ind w:firstLineChars="200" w:firstLine="640"/>
        <w:rPr>
          <w:rFonts w:ascii="仿宋_GB2312" w:eastAsia="仿宋_GB2312" w:hAnsi="华文仿宋" w:cs="宋体"/>
          <w:color w:val="333333"/>
          <w:kern w:val="0"/>
          <w:sz w:val="32"/>
          <w:szCs w:val="32"/>
        </w:rPr>
      </w:pPr>
      <w:r w:rsidRPr="002D1949">
        <w:rPr>
          <w:rFonts w:ascii="黑体" w:eastAsia="黑体" w:hAnsi="黑体" w:cs="宋体" w:hint="eastAsia"/>
          <w:color w:val="333333"/>
          <w:kern w:val="0"/>
          <w:sz w:val="32"/>
          <w:szCs w:val="32"/>
        </w:rPr>
        <w:lastRenderedPageBreak/>
        <w:t>第八条</w:t>
      </w:r>
      <w:r w:rsidR="005E46FC">
        <w:rPr>
          <w:rFonts w:ascii="黑体" w:eastAsia="黑体" w:hAnsi="黑体" w:cs="宋体" w:hint="eastAsia"/>
          <w:color w:val="333333"/>
          <w:kern w:val="0"/>
          <w:sz w:val="32"/>
          <w:szCs w:val="32"/>
        </w:rPr>
        <w:t xml:space="preserve"> </w:t>
      </w:r>
      <w:r w:rsidRPr="00143342">
        <w:rPr>
          <w:rFonts w:ascii="仿宋_GB2312" w:eastAsia="仿宋_GB2312" w:hAnsi="华文仿宋" w:cs="宋体" w:hint="eastAsia"/>
          <w:color w:val="333333"/>
          <w:kern w:val="0"/>
          <w:sz w:val="32"/>
          <w:szCs w:val="32"/>
        </w:rPr>
        <w:t>运营使用单位应当对每台(套)大型游乐设施建立技术档案，依法管理和保存。技术档案包括以下主要内容：</w:t>
      </w:r>
    </w:p>
    <w:p w:rsidR="00CD3AA7" w:rsidRPr="006C725B" w:rsidRDefault="00CD3AA7" w:rsidP="002D1949">
      <w:pPr>
        <w:widowControl/>
        <w:spacing w:line="560" w:lineRule="exact"/>
        <w:ind w:firstLineChars="200" w:firstLine="640"/>
        <w:rPr>
          <w:rFonts w:ascii="仿宋_GB2312" w:eastAsia="仿宋_GB2312" w:hAnsi="华文仿宋" w:cs="宋体"/>
          <w:color w:val="333333"/>
          <w:kern w:val="0"/>
          <w:sz w:val="32"/>
          <w:szCs w:val="32"/>
        </w:rPr>
      </w:pPr>
      <w:r w:rsidRPr="006C725B">
        <w:rPr>
          <w:rFonts w:ascii="仿宋_GB2312" w:eastAsia="仿宋_GB2312" w:hAnsi="华文仿宋" w:cs="宋体" w:hint="eastAsia"/>
          <w:color w:val="333333"/>
          <w:kern w:val="0"/>
          <w:sz w:val="32"/>
          <w:szCs w:val="32"/>
        </w:rPr>
        <w:t>(</w:t>
      </w:r>
      <w:proofErr w:type="gramStart"/>
      <w:r w:rsidRPr="006C725B">
        <w:rPr>
          <w:rFonts w:ascii="仿宋_GB2312" w:eastAsia="仿宋_GB2312" w:hAnsi="华文仿宋" w:cs="宋体" w:hint="eastAsia"/>
          <w:color w:val="333333"/>
          <w:kern w:val="0"/>
          <w:sz w:val="32"/>
          <w:szCs w:val="32"/>
        </w:rPr>
        <w:t>一</w:t>
      </w:r>
      <w:proofErr w:type="gramEnd"/>
      <w:r w:rsidRPr="006C725B">
        <w:rPr>
          <w:rFonts w:ascii="仿宋_GB2312" w:eastAsia="仿宋_GB2312" w:hAnsi="华文仿宋" w:cs="宋体" w:hint="eastAsia"/>
          <w:color w:val="333333"/>
          <w:kern w:val="0"/>
          <w:sz w:val="32"/>
          <w:szCs w:val="32"/>
        </w:rPr>
        <w:t>)安装技术资料；</w:t>
      </w:r>
    </w:p>
    <w:p w:rsidR="00CD3AA7" w:rsidRPr="006C725B" w:rsidRDefault="00CD3AA7" w:rsidP="002D1949">
      <w:pPr>
        <w:widowControl/>
        <w:spacing w:line="560" w:lineRule="exact"/>
        <w:ind w:firstLineChars="200" w:firstLine="640"/>
        <w:rPr>
          <w:rFonts w:ascii="仿宋_GB2312" w:eastAsia="仿宋_GB2312" w:hAnsi="华文仿宋" w:cs="宋体"/>
          <w:color w:val="333333"/>
          <w:kern w:val="0"/>
          <w:sz w:val="32"/>
          <w:szCs w:val="32"/>
        </w:rPr>
      </w:pPr>
      <w:r w:rsidRPr="006C725B">
        <w:rPr>
          <w:rFonts w:ascii="仿宋_GB2312" w:eastAsia="仿宋_GB2312" w:hAnsi="华文仿宋" w:cs="宋体" w:hint="eastAsia"/>
          <w:color w:val="333333"/>
          <w:kern w:val="0"/>
          <w:sz w:val="32"/>
          <w:szCs w:val="32"/>
        </w:rPr>
        <w:t>(二)监督检验报告；</w:t>
      </w:r>
    </w:p>
    <w:p w:rsidR="00CD3AA7" w:rsidRPr="006C725B" w:rsidRDefault="00CD3AA7" w:rsidP="002D1949">
      <w:pPr>
        <w:widowControl/>
        <w:spacing w:line="560" w:lineRule="exact"/>
        <w:ind w:firstLineChars="200" w:firstLine="640"/>
        <w:rPr>
          <w:rFonts w:ascii="仿宋_GB2312" w:eastAsia="仿宋_GB2312" w:hAnsi="华文仿宋" w:cs="宋体"/>
          <w:color w:val="333333"/>
          <w:kern w:val="0"/>
          <w:sz w:val="32"/>
          <w:szCs w:val="32"/>
        </w:rPr>
      </w:pPr>
      <w:r w:rsidRPr="006C725B">
        <w:rPr>
          <w:rFonts w:ascii="仿宋_GB2312" w:eastAsia="仿宋_GB2312" w:hAnsi="华文仿宋" w:cs="宋体" w:hint="eastAsia"/>
          <w:color w:val="333333"/>
          <w:kern w:val="0"/>
          <w:sz w:val="32"/>
          <w:szCs w:val="32"/>
        </w:rPr>
        <w:t>(三)使用登记表；</w:t>
      </w:r>
    </w:p>
    <w:p w:rsidR="00CD3AA7" w:rsidRPr="006C725B" w:rsidRDefault="00CD3AA7" w:rsidP="002D1949">
      <w:pPr>
        <w:widowControl/>
        <w:spacing w:line="560" w:lineRule="exact"/>
        <w:ind w:firstLineChars="200" w:firstLine="640"/>
        <w:rPr>
          <w:rFonts w:ascii="仿宋_GB2312" w:eastAsia="仿宋_GB2312" w:hAnsi="华文仿宋" w:cs="宋体"/>
          <w:color w:val="333333"/>
          <w:kern w:val="0"/>
          <w:sz w:val="32"/>
          <w:szCs w:val="32"/>
        </w:rPr>
      </w:pPr>
      <w:r w:rsidRPr="006C725B">
        <w:rPr>
          <w:rFonts w:ascii="仿宋_GB2312" w:eastAsia="仿宋_GB2312" w:hAnsi="华文仿宋" w:cs="宋体" w:hint="eastAsia"/>
          <w:color w:val="333333"/>
          <w:kern w:val="0"/>
          <w:sz w:val="32"/>
          <w:szCs w:val="32"/>
        </w:rPr>
        <w:t>(四)改造、修理技术文件；</w:t>
      </w:r>
    </w:p>
    <w:p w:rsidR="00CD3AA7" w:rsidRPr="006C725B" w:rsidRDefault="00CD3AA7" w:rsidP="002D1949">
      <w:pPr>
        <w:widowControl/>
        <w:spacing w:line="560" w:lineRule="exact"/>
        <w:ind w:firstLineChars="200" w:firstLine="640"/>
        <w:rPr>
          <w:rFonts w:ascii="仿宋_GB2312" w:eastAsia="仿宋_GB2312" w:hAnsi="华文仿宋" w:cs="宋体"/>
          <w:color w:val="333333"/>
          <w:kern w:val="0"/>
          <w:sz w:val="32"/>
          <w:szCs w:val="32"/>
        </w:rPr>
      </w:pPr>
      <w:r w:rsidRPr="006C725B">
        <w:rPr>
          <w:rFonts w:ascii="仿宋_GB2312" w:eastAsia="仿宋_GB2312" w:hAnsi="华文仿宋" w:cs="宋体" w:hint="eastAsia"/>
          <w:color w:val="333333"/>
          <w:kern w:val="0"/>
          <w:sz w:val="32"/>
          <w:szCs w:val="32"/>
        </w:rPr>
        <w:t>(五)年度自行检查的记录；</w:t>
      </w:r>
    </w:p>
    <w:p w:rsidR="00CD3AA7" w:rsidRPr="006C725B" w:rsidRDefault="00CD3AA7" w:rsidP="002D1949">
      <w:pPr>
        <w:widowControl/>
        <w:spacing w:line="560" w:lineRule="exact"/>
        <w:ind w:firstLineChars="200" w:firstLine="640"/>
        <w:rPr>
          <w:rFonts w:ascii="仿宋_GB2312" w:eastAsia="仿宋_GB2312" w:hAnsi="华文仿宋" w:cs="宋体"/>
          <w:color w:val="333333"/>
          <w:kern w:val="0"/>
          <w:sz w:val="32"/>
          <w:szCs w:val="32"/>
        </w:rPr>
      </w:pPr>
      <w:r w:rsidRPr="006C725B">
        <w:rPr>
          <w:rFonts w:ascii="仿宋_GB2312" w:eastAsia="仿宋_GB2312" w:hAnsi="华文仿宋" w:cs="宋体" w:hint="eastAsia"/>
          <w:color w:val="333333"/>
          <w:kern w:val="0"/>
          <w:sz w:val="32"/>
          <w:szCs w:val="32"/>
        </w:rPr>
        <w:t>(六)定期检验报告；</w:t>
      </w:r>
    </w:p>
    <w:p w:rsidR="00CD3AA7" w:rsidRPr="006C725B" w:rsidRDefault="00CD3AA7" w:rsidP="002D1949">
      <w:pPr>
        <w:widowControl/>
        <w:spacing w:line="560" w:lineRule="exact"/>
        <w:ind w:firstLineChars="200" w:firstLine="640"/>
        <w:rPr>
          <w:rFonts w:ascii="仿宋_GB2312" w:eastAsia="仿宋_GB2312" w:hAnsi="华文仿宋" w:cs="宋体"/>
          <w:color w:val="333333"/>
          <w:kern w:val="0"/>
          <w:sz w:val="32"/>
          <w:szCs w:val="32"/>
        </w:rPr>
      </w:pPr>
      <w:r w:rsidRPr="006C725B">
        <w:rPr>
          <w:rFonts w:ascii="仿宋_GB2312" w:eastAsia="仿宋_GB2312" w:hAnsi="华文仿宋" w:cs="宋体" w:hint="eastAsia"/>
          <w:color w:val="333333"/>
          <w:kern w:val="0"/>
          <w:sz w:val="32"/>
          <w:szCs w:val="32"/>
        </w:rPr>
        <w:t>(七)应急救援演练记录；</w:t>
      </w:r>
    </w:p>
    <w:p w:rsidR="00CD3AA7" w:rsidRPr="006C725B" w:rsidRDefault="00CD3AA7" w:rsidP="002D1949">
      <w:pPr>
        <w:widowControl/>
        <w:spacing w:line="560" w:lineRule="exact"/>
        <w:ind w:firstLineChars="200" w:firstLine="640"/>
        <w:rPr>
          <w:rFonts w:ascii="仿宋_GB2312" w:eastAsia="仿宋_GB2312" w:hAnsi="华文仿宋" w:cs="宋体"/>
          <w:color w:val="333333"/>
          <w:kern w:val="0"/>
          <w:sz w:val="32"/>
          <w:szCs w:val="32"/>
        </w:rPr>
      </w:pPr>
      <w:r w:rsidRPr="006C725B">
        <w:rPr>
          <w:rFonts w:ascii="仿宋_GB2312" w:eastAsia="仿宋_GB2312" w:hAnsi="华文仿宋" w:cs="宋体" w:hint="eastAsia"/>
          <w:color w:val="333333"/>
          <w:kern w:val="0"/>
          <w:sz w:val="32"/>
          <w:szCs w:val="32"/>
        </w:rPr>
        <w:t>(八)运行、维护保养、设备故障与事故处理记录；</w:t>
      </w:r>
    </w:p>
    <w:p w:rsidR="00CD3AA7" w:rsidRPr="006C725B" w:rsidRDefault="00CD3AA7" w:rsidP="002D1949">
      <w:pPr>
        <w:widowControl/>
        <w:spacing w:line="560" w:lineRule="exact"/>
        <w:ind w:firstLineChars="200" w:firstLine="640"/>
        <w:rPr>
          <w:rFonts w:ascii="仿宋_GB2312" w:eastAsia="仿宋_GB2312" w:hAnsi="华文仿宋" w:cs="宋体"/>
          <w:color w:val="333333"/>
          <w:kern w:val="0"/>
          <w:sz w:val="32"/>
          <w:szCs w:val="32"/>
        </w:rPr>
      </w:pPr>
      <w:r w:rsidRPr="006C725B">
        <w:rPr>
          <w:rFonts w:ascii="仿宋_GB2312" w:eastAsia="仿宋_GB2312" w:hAnsi="华文仿宋" w:cs="宋体" w:hint="eastAsia"/>
          <w:color w:val="333333"/>
          <w:kern w:val="0"/>
          <w:sz w:val="32"/>
          <w:szCs w:val="32"/>
        </w:rPr>
        <w:t>(九)作业人员培训、考核和证书管理记录；</w:t>
      </w:r>
    </w:p>
    <w:p w:rsidR="00CD3AA7" w:rsidRPr="006C725B" w:rsidRDefault="00CD3AA7" w:rsidP="002D1949">
      <w:pPr>
        <w:widowControl/>
        <w:spacing w:line="560" w:lineRule="exact"/>
        <w:ind w:firstLineChars="200" w:firstLine="640"/>
        <w:rPr>
          <w:rFonts w:ascii="仿宋_GB2312" w:eastAsia="仿宋_GB2312" w:hAnsi="华文仿宋" w:cs="宋体"/>
          <w:color w:val="333333"/>
          <w:kern w:val="0"/>
          <w:sz w:val="32"/>
          <w:szCs w:val="32"/>
        </w:rPr>
      </w:pPr>
      <w:r w:rsidRPr="006C725B">
        <w:rPr>
          <w:rFonts w:ascii="仿宋_GB2312" w:eastAsia="仿宋_GB2312" w:hAnsi="华文仿宋" w:cs="宋体" w:hint="eastAsia"/>
          <w:color w:val="333333"/>
          <w:kern w:val="0"/>
          <w:sz w:val="32"/>
          <w:szCs w:val="32"/>
        </w:rPr>
        <w:t>(十)法律法规规定的其他内容。</w:t>
      </w:r>
    </w:p>
    <w:p w:rsidR="00CD3AA7" w:rsidRPr="00143342" w:rsidRDefault="00CD3AA7" w:rsidP="002D1949">
      <w:pPr>
        <w:widowControl/>
        <w:spacing w:line="560" w:lineRule="exact"/>
        <w:ind w:firstLineChars="200" w:firstLine="640"/>
        <w:rPr>
          <w:rFonts w:ascii="仿宋_GB2312" w:eastAsia="仿宋_GB2312" w:hAnsi="华文仿宋" w:cs="宋体"/>
          <w:color w:val="333333"/>
          <w:kern w:val="0"/>
          <w:sz w:val="32"/>
          <w:szCs w:val="32"/>
        </w:rPr>
      </w:pPr>
      <w:r w:rsidRPr="002D1949">
        <w:rPr>
          <w:rFonts w:ascii="黑体" w:eastAsia="黑体" w:hAnsi="黑体" w:cs="宋体" w:hint="eastAsia"/>
          <w:color w:val="333333"/>
          <w:kern w:val="0"/>
          <w:sz w:val="32"/>
          <w:szCs w:val="32"/>
        </w:rPr>
        <w:t>第九条</w:t>
      </w:r>
      <w:r w:rsidR="005E46FC">
        <w:rPr>
          <w:rFonts w:ascii="黑体" w:eastAsia="黑体" w:hAnsi="黑体" w:cs="宋体" w:hint="eastAsia"/>
          <w:color w:val="333333"/>
          <w:kern w:val="0"/>
          <w:sz w:val="32"/>
          <w:szCs w:val="32"/>
        </w:rPr>
        <w:t xml:space="preserve"> </w:t>
      </w:r>
      <w:r w:rsidRPr="00143342">
        <w:rPr>
          <w:rFonts w:ascii="仿宋_GB2312" w:eastAsia="仿宋_GB2312" w:hAnsi="华文仿宋" w:cs="宋体" w:hint="eastAsia"/>
          <w:color w:val="333333"/>
          <w:kern w:val="0"/>
          <w:sz w:val="32"/>
          <w:szCs w:val="32"/>
        </w:rPr>
        <w:t>运营使用单位应当按照安全技术规范和使用维护说明的要求，在设备运营前开展试运行检查、日常检查和维护保养、定期安全检查并如实记录。对日常维护保养和试运行检查等自行检查中发现的异常情况，应当及时处理。</w:t>
      </w:r>
    </w:p>
    <w:p w:rsidR="00CD3AA7" w:rsidRPr="00143342" w:rsidRDefault="00CD3AA7" w:rsidP="00BE4C2C">
      <w:pPr>
        <w:widowControl/>
        <w:spacing w:line="560" w:lineRule="exact"/>
        <w:ind w:firstLineChars="200" w:firstLine="640"/>
        <w:rPr>
          <w:rFonts w:ascii="仿宋_GB2312" w:eastAsia="仿宋_GB2312" w:hAnsi="华文仿宋" w:cs="宋体"/>
          <w:color w:val="333333"/>
          <w:kern w:val="0"/>
          <w:sz w:val="32"/>
          <w:szCs w:val="32"/>
        </w:rPr>
      </w:pPr>
      <w:r w:rsidRPr="002D1949">
        <w:rPr>
          <w:rFonts w:ascii="黑体" w:eastAsia="黑体" w:hAnsi="黑体" w:cs="宋体" w:hint="eastAsia"/>
          <w:color w:val="333333"/>
          <w:kern w:val="0"/>
          <w:sz w:val="32"/>
          <w:szCs w:val="32"/>
        </w:rPr>
        <w:t>第十条</w:t>
      </w:r>
      <w:r w:rsidR="005E46FC">
        <w:rPr>
          <w:rFonts w:ascii="黑体" w:eastAsia="黑体" w:hAnsi="黑体" w:cs="宋体" w:hint="eastAsia"/>
          <w:color w:val="333333"/>
          <w:kern w:val="0"/>
          <w:sz w:val="32"/>
          <w:szCs w:val="32"/>
        </w:rPr>
        <w:t xml:space="preserve"> </w:t>
      </w:r>
      <w:r w:rsidRPr="00143342">
        <w:rPr>
          <w:rFonts w:ascii="仿宋_GB2312" w:eastAsia="仿宋_GB2312" w:hAnsi="华文仿宋" w:cs="宋体" w:hint="eastAsia"/>
          <w:color w:val="333333"/>
          <w:kern w:val="0"/>
          <w:sz w:val="32"/>
          <w:szCs w:val="32"/>
        </w:rPr>
        <w:t>运营使用单位进行本单位设备的维护保养工作，应当按照安全技术规范要求配备具有相应资格的作业人员、必备工具和设备。</w:t>
      </w:r>
      <w:r w:rsidR="00023F77">
        <w:rPr>
          <w:rFonts w:ascii="仿宋_GB2312" w:eastAsia="仿宋_GB2312" w:hAnsi="华文仿宋" w:cs="宋体" w:hint="eastAsia"/>
          <w:color w:val="333333"/>
          <w:kern w:val="0"/>
          <w:sz w:val="32"/>
          <w:szCs w:val="32"/>
        </w:rPr>
        <w:t>运营使用单位</w:t>
      </w:r>
      <w:r w:rsidRPr="00143342">
        <w:rPr>
          <w:rFonts w:ascii="仿宋_GB2312" w:eastAsia="仿宋_GB2312" w:hAnsi="华文仿宋" w:cs="宋体" w:hint="eastAsia"/>
          <w:color w:val="333333"/>
          <w:kern w:val="0"/>
          <w:sz w:val="32"/>
          <w:szCs w:val="32"/>
        </w:rPr>
        <w:t>没有维修能力的，应当将维修工作委托具有相应维修资格的单位承担。</w:t>
      </w:r>
    </w:p>
    <w:p w:rsidR="00CD3AA7" w:rsidRPr="00143342" w:rsidRDefault="00CD3AA7" w:rsidP="002D1949">
      <w:pPr>
        <w:widowControl/>
        <w:spacing w:line="560" w:lineRule="exact"/>
        <w:ind w:firstLineChars="200" w:firstLine="640"/>
        <w:rPr>
          <w:rFonts w:ascii="仿宋_GB2312" w:eastAsia="仿宋_GB2312" w:hAnsi="华文仿宋" w:cs="宋体"/>
          <w:color w:val="333333"/>
          <w:kern w:val="0"/>
          <w:sz w:val="32"/>
          <w:szCs w:val="32"/>
        </w:rPr>
      </w:pPr>
      <w:r w:rsidRPr="002D1949">
        <w:rPr>
          <w:rFonts w:ascii="黑体" w:eastAsia="黑体" w:hAnsi="黑体" w:cs="宋体" w:hint="eastAsia"/>
          <w:color w:val="333333"/>
          <w:kern w:val="0"/>
          <w:sz w:val="32"/>
          <w:szCs w:val="32"/>
        </w:rPr>
        <w:t>第十一条</w:t>
      </w:r>
      <w:r w:rsidR="005E46FC">
        <w:rPr>
          <w:rFonts w:ascii="黑体" w:eastAsia="黑体" w:hAnsi="黑体" w:cs="宋体" w:hint="eastAsia"/>
          <w:color w:val="333333"/>
          <w:kern w:val="0"/>
          <w:sz w:val="32"/>
          <w:szCs w:val="32"/>
        </w:rPr>
        <w:t xml:space="preserve"> </w:t>
      </w:r>
      <w:r w:rsidRPr="00143342">
        <w:rPr>
          <w:rFonts w:ascii="仿宋_GB2312" w:eastAsia="仿宋_GB2312" w:hAnsi="华文仿宋" w:cs="宋体" w:hint="eastAsia"/>
          <w:color w:val="333333"/>
          <w:kern w:val="0"/>
          <w:sz w:val="32"/>
          <w:szCs w:val="32"/>
        </w:rPr>
        <w:t>运营使用单位应当在大型游乐设施的入口处等显著位置张贴乘客须知、安全注意事项和警示标志，注明设备的运动特点、乘客范围、禁忌事宜等。</w:t>
      </w:r>
    </w:p>
    <w:p w:rsidR="00CD3AA7" w:rsidRPr="00143342" w:rsidRDefault="00CD3AA7" w:rsidP="00BE4C2C">
      <w:pPr>
        <w:widowControl/>
        <w:spacing w:line="560" w:lineRule="exact"/>
        <w:ind w:firstLineChars="200" w:firstLine="640"/>
        <w:rPr>
          <w:rFonts w:ascii="仿宋_GB2312" w:eastAsia="仿宋_GB2312" w:hAnsi="华文仿宋" w:cs="宋体"/>
          <w:color w:val="333333"/>
          <w:kern w:val="0"/>
          <w:sz w:val="32"/>
          <w:szCs w:val="32"/>
        </w:rPr>
      </w:pPr>
      <w:r w:rsidRPr="002D1949">
        <w:rPr>
          <w:rFonts w:ascii="黑体" w:eastAsia="黑体" w:hAnsi="黑体" w:cs="宋体" w:hint="eastAsia"/>
          <w:color w:val="333333"/>
          <w:kern w:val="0"/>
          <w:sz w:val="32"/>
          <w:szCs w:val="32"/>
        </w:rPr>
        <w:lastRenderedPageBreak/>
        <w:t>第十二条</w:t>
      </w:r>
      <w:r w:rsidR="005E46FC">
        <w:rPr>
          <w:rFonts w:ascii="黑体" w:eastAsia="黑体" w:hAnsi="黑体" w:cs="宋体" w:hint="eastAsia"/>
          <w:color w:val="333333"/>
          <w:kern w:val="0"/>
          <w:sz w:val="32"/>
          <w:szCs w:val="32"/>
        </w:rPr>
        <w:t xml:space="preserve"> </w:t>
      </w:r>
      <w:r w:rsidRPr="00143342">
        <w:rPr>
          <w:rFonts w:ascii="仿宋_GB2312" w:eastAsia="仿宋_GB2312" w:hAnsi="华文仿宋" w:cs="宋体" w:hint="eastAsia"/>
          <w:color w:val="333333"/>
          <w:kern w:val="0"/>
          <w:sz w:val="32"/>
          <w:szCs w:val="32"/>
        </w:rPr>
        <w:t>运营使用单位应当设置专门的安全管理机构并配备安全管理人员，或者配备专职的安全管理人员，并保证设备运营期间，至少有一名安全管理人员在岗。运营使用单位的安全管理人员、操作人员和维修保养人员应当依法取得特种设备作业人员资格。运营使用单位应当对安全管理人员、操作人员和维修保养人员定期进行安全教育和培训，保证其具备与岗位职责相适应的技术能力和安全作业知识。</w:t>
      </w:r>
    </w:p>
    <w:p w:rsidR="00CD3AA7" w:rsidRPr="00143342" w:rsidRDefault="00CD3AA7" w:rsidP="002D1949">
      <w:pPr>
        <w:widowControl/>
        <w:spacing w:line="560" w:lineRule="exact"/>
        <w:ind w:firstLineChars="200" w:firstLine="640"/>
        <w:rPr>
          <w:rFonts w:ascii="仿宋_GB2312" w:eastAsia="仿宋_GB2312" w:hAnsi="华文仿宋" w:cs="宋体"/>
          <w:color w:val="333333"/>
          <w:kern w:val="0"/>
          <w:sz w:val="32"/>
          <w:szCs w:val="32"/>
        </w:rPr>
      </w:pPr>
      <w:r w:rsidRPr="002D1949">
        <w:rPr>
          <w:rFonts w:ascii="黑体" w:eastAsia="黑体" w:hAnsi="黑体" w:cs="宋体" w:hint="eastAsia"/>
          <w:color w:val="333333"/>
          <w:kern w:val="0"/>
          <w:sz w:val="32"/>
          <w:szCs w:val="32"/>
        </w:rPr>
        <w:t>第十三条</w:t>
      </w:r>
      <w:r w:rsidR="005E46FC">
        <w:rPr>
          <w:rFonts w:ascii="黑体" w:eastAsia="黑体" w:hAnsi="黑体" w:cs="宋体" w:hint="eastAsia"/>
          <w:color w:val="333333"/>
          <w:kern w:val="0"/>
          <w:sz w:val="32"/>
          <w:szCs w:val="32"/>
        </w:rPr>
        <w:t xml:space="preserve"> </w:t>
      </w:r>
      <w:r w:rsidRPr="00143342">
        <w:rPr>
          <w:rFonts w:ascii="仿宋_GB2312" w:eastAsia="仿宋_GB2312" w:hAnsi="华文仿宋" w:cs="宋体" w:hint="eastAsia"/>
          <w:color w:val="333333"/>
          <w:kern w:val="0"/>
          <w:sz w:val="32"/>
          <w:szCs w:val="32"/>
        </w:rPr>
        <w:t>运营使用单位的主要负责人应当熟悉大型游乐设施的相关安全知识，至少应当每月召开1次会议，督促大型游乐设施的安全使用工作，并全面负责大型游乐设施的安全使用。</w:t>
      </w:r>
    </w:p>
    <w:p w:rsidR="00CD3AA7" w:rsidRPr="00143342" w:rsidRDefault="00CD3AA7" w:rsidP="00BE4C2C">
      <w:pPr>
        <w:widowControl/>
        <w:spacing w:line="560" w:lineRule="exact"/>
        <w:ind w:firstLineChars="200" w:firstLine="640"/>
        <w:rPr>
          <w:rFonts w:ascii="仿宋_GB2312" w:eastAsia="仿宋_GB2312" w:hAnsi="华文仿宋" w:cs="宋体"/>
          <w:color w:val="333333"/>
          <w:kern w:val="0"/>
          <w:sz w:val="32"/>
          <w:szCs w:val="32"/>
        </w:rPr>
      </w:pPr>
      <w:r w:rsidRPr="002D1949">
        <w:rPr>
          <w:rFonts w:ascii="黑体" w:eastAsia="黑体" w:hAnsi="黑体" w:cs="宋体" w:hint="eastAsia"/>
          <w:color w:val="333333"/>
          <w:kern w:val="0"/>
          <w:sz w:val="32"/>
          <w:szCs w:val="32"/>
        </w:rPr>
        <w:t>第十四条</w:t>
      </w:r>
      <w:r w:rsidR="005E46FC">
        <w:rPr>
          <w:rFonts w:ascii="黑体" w:eastAsia="黑体" w:hAnsi="黑体" w:cs="宋体" w:hint="eastAsia"/>
          <w:color w:val="333333"/>
          <w:kern w:val="0"/>
          <w:sz w:val="32"/>
          <w:szCs w:val="32"/>
        </w:rPr>
        <w:t xml:space="preserve"> </w:t>
      </w:r>
      <w:r w:rsidRPr="00143342">
        <w:rPr>
          <w:rFonts w:ascii="仿宋_GB2312" w:eastAsia="仿宋_GB2312" w:hAnsi="华文仿宋" w:cs="宋体" w:hint="eastAsia"/>
          <w:color w:val="333333"/>
          <w:kern w:val="0"/>
          <w:sz w:val="32"/>
          <w:szCs w:val="32"/>
        </w:rPr>
        <w:t>运营使用单位应当制定应急预案，建立应急救援指挥机构，配备相应的救援人员、营救设备和急救物品。对每台(套)大型游乐设施还应当制定专门的应急预案。运营使用单位应当加强营救设备、急救物品的存放和管理，对救援人员定期进行专业培训，每年至少对每台(套)大型游乐设施组织1次应急救援演练。运营使用单位可以根据当地实际情况，与其他运营使用单位或公安消防等专业应急救援力量建立应急联动机制，制定联合应急预案，并定期进行联合演练。</w:t>
      </w:r>
    </w:p>
    <w:p w:rsidR="00CD3AA7" w:rsidRPr="00143342" w:rsidRDefault="00CD3AA7" w:rsidP="002D1949">
      <w:pPr>
        <w:widowControl/>
        <w:spacing w:line="560" w:lineRule="exact"/>
        <w:ind w:firstLineChars="200" w:firstLine="640"/>
        <w:rPr>
          <w:rFonts w:ascii="仿宋_GB2312" w:eastAsia="仿宋_GB2312" w:hAnsi="华文仿宋" w:cs="宋体"/>
          <w:color w:val="333333"/>
          <w:kern w:val="0"/>
          <w:sz w:val="32"/>
          <w:szCs w:val="32"/>
        </w:rPr>
      </w:pPr>
      <w:r w:rsidRPr="002D1949">
        <w:rPr>
          <w:rFonts w:ascii="黑体" w:eastAsia="黑体" w:hAnsi="黑体" w:cs="宋体" w:hint="eastAsia"/>
          <w:color w:val="333333"/>
          <w:kern w:val="0"/>
          <w:sz w:val="32"/>
          <w:szCs w:val="32"/>
        </w:rPr>
        <w:t>第十五条</w:t>
      </w:r>
      <w:r w:rsidR="005E46FC">
        <w:rPr>
          <w:rFonts w:ascii="黑体" w:eastAsia="黑体" w:hAnsi="黑体" w:cs="宋体" w:hint="eastAsia"/>
          <w:color w:val="333333"/>
          <w:kern w:val="0"/>
          <w:sz w:val="32"/>
          <w:szCs w:val="32"/>
        </w:rPr>
        <w:t xml:space="preserve"> </w:t>
      </w:r>
      <w:r w:rsidRPr="00143342">
        <w:rPr>
          <w:rFonts w:ascii="仿宋_GB2312" w:eastAsia="仿宋_GB2312" w:hAnsi="华文仿宋" w:cs="宋体" w:hint="eastAsia"/>
          <w:color w:val="333333"/>
          <w:kern w:val="0"/>
          <w:sz w:val="32"/>
          <w:szCs w:val="32"/>
        </w:rPr>
        <w:t>超过设计使用年限的大型游乐设施，需要继续使用的，运营使用单位应当委托具备大型游乐设施相应制造资格的单位进行安全评价，确定继续使用的条件和期限。</w:t>
      </w:r>
    </w:p>
    <w:p w:rsidR="00CD3AA7" w:rsidRPr="00143342" w:rsidRDefault="00CD3AA7" w:rsidP="002D1949">
      <w:pPr>
        <w:widowControl/>
        <w:spacing w:line="560" w:lineRule="exact"/>
        <w:ind w:firstLineChars="200" w:firstLine="640"/>
        <w:rPr>
          <w:rFonts w:ascii="仿宋_GB2312" w:eastAsia="仿宋_GB2312" w:hAnsi="华文仿宋" w:cs="宋体"/>
          <w:color w:val="333333"/>
          <w:kern w:val="0"/>
          <w:sz w:val="32"/>
          <w:szCs w:val="32"/>
        </w:rPr>
      </w:pPr>
      <w:r w:rsidRPr="002D1949">
        <w:rPr>
          <w:rFonts w:ascii="黑体" w:eastAsia="黑体" w:hAnsi="黑体" w:cs="宋体" w:hint="eastAsia"/>
          <w:color w:val="333333"/>
          <w:kern w:val="0"/>
          <w:sz w:val="32"/>
          <w:szCs w:val="32"/>
        </w:rPr>
        <w:t>第十六条</w:t>
      </w:r>
      <w:r w:rsidR="005E46FC">
        <w:rPr>
          <w:rFonts w:ascii="黑体" w:eastAsia="黑体" w:hAnsi="黑体" w:cs="宋体" w:hint="eastAsia"/>
          <w:color w:val="333333"/>
          <w:kern w:val="0"/>
          <w:sz w:val="32"/>
          <w:szCs w:val="32"/>
        </w:rPr>
        <w:t xml:space="preserve"> </w:t>
      </w:r>
      <w:r w:rsidR="00023F77">
        <w:rPr>
          <w:rFonts w:ascii="仿宋_GB2312" w:eastAsia="仿宋_GB2312" w:hAnsi="华文仿宋" w:cs="宋体" w:hint="eastAsia"/>
          <w:color w:val="333333"/>
          <w:kern w:val="0"/>
          <w:sz w:val="32"/>
          <w:szCs w:val="32"/>
        </w:rPr>
        <w:t>运营使用单位</w:t>
      </w:r>
      <w:r w:rsidRPr="00143342">
        <w:rPr>
          <w:rFonts w:ascii="仿宋_GB2312" w:eastAsia="仿宋_GB2312" w:hAnsi="华文仿宋" w:cs="宋体" w:hint="eastAsia"/>
          <w:color w:val="333333"/>
          <w:kern w:val="0"/>
          <w:sz w:val="32"/>
          <w:szCs w:val="32"/>
        </w:rPr>
        <w:t>在大型游乐设施发生事故后，应当按照应急预案组织抢救，迅速有效控制事故，减少人员伤亡和财</w:t>
      </w:r>
      <w:r w:rsidRPr="00143342">
        <w:rPr>
          <w:rFonts w:ascii="仿宋_GB2312" w:eastAsia="仿宋_GB2312" w:hAnsi="华文仿宋" w:cs="宋体" w:hint="eastAsia"/>
          <w:color w:val="333333"/>
          <w:kern w:val="0"/>
          <w:sz w:val="32"/>
          <w:szCs w:val="32"/>
        </w:rPr>
        <w:lastRenderedPageBreak/>
        <w:t>产损失，并按照规定保护事故现场，及时向所在地的区、县（市）市场监督管理部门报告。区、县（市）市场监督管理部门接到事故报告后，应当立即按照本市特种设备应急预案，组织救援、核实有关情况，并及时向区、县（市）人民政府和上级主管部门报告。</w:t>
      </w:r>
    </w:p>
    <w:p w:rsidR="00CD3AA7" w:rsidRPr="00143342" w:rsidRDefault="00CD3AA7" w:rsidP="002D1949">
      <w:pPr>
        <w:widowControl/>
        <w:spacing w:line="560" w:lineRule="exact"/>
        <w:ind w:firstLineChars="200" w:firstLine="640"/>
        <w:rPr>
          <w:rFonts w:ascii="仿宋_GB2312" w:eastAsia="仿宋_GB2312" w:hAnsi="华文仿宋" w:cs="宋体"/>
          <w:color w:val="333333"/>
          <w:kern w:val="0"/>
          <w:sz w:val="32"/>
          <w:szCs w:val="32"/>
        </w:rPr>
      </w:pPr>
      <w:r w:rsidRPr="002D1949">
        <w:rPr>
          <w:rFonts w:ascii="黑体" w:eastAsia="黑体" w:hAnsi="黑体" w:cs="宋体" w:hint="eastAsia"/>
          <w:color w:val="333333"/>
          <w:kern w:val="0"/>
          <w:sz w:val="32"/>
          <w:szCs w:val="32"/>
        </w:rPr>
        <w:t>第十七条</w:t>
      </w:r>
      <w:r w:rsidR="005E46FC">
        <w:rPr>
          <w:rFonts w:ascii="黑体" w:eastAsia="黑体" w:hAnsi="黑体" w:cs="宋体" w:hint="eastAsia"/>
          <w:color w:val="333333"/>
          <w:kern w:val="0"/>
          <w:sz w:val="32"/>
          <w:szCs w:val="32"/>
        </w:rPr>
        <w:t xml:space="preserve"> </w:t>
      </w:r>
      <w:r w:rsidRPr="00143342">
        <w:rPr>
          <w:rFonts w:ascii="仿宋_GB2312" w:eastAsia="仿宋_GB2312" w:hAnsi="华文仿宋" w:cs="宋体" w:hint="eastAsia"/>
          <w:color w:val="333333"/>
          <w:kern w:val="0"/>
          <w:sz w:val="32"/>
          <w:szCs w:val="32"/>
        </w:rPr>
        <w:t>本办法自202</w:t>
      </w:r>
      <w:r w:rsidR="00EE53CA" w:rsidRPr="00143342">
        <w:rPr>
          <w:rFonts w:ascii="仿宋_GB2312" w:eastAsia="仿宋_GB2312" w:hAnsi="华文仿宋" w:cs="宋体" w:hint="eastAsia"/>
          <w:color w:val="333333"/>
          <w:kern w:val="0"/>
          <w:sz w:val="32"/>
          <w:szCs w:val="32"/>
        </w:rPr>
        <w:t>1</w:t>
      </w:r>
      <w:r w:rsidRPr="00143342">
        <w:rPr>
          <w:rFonts w:ascii="仿宋_GB2312" w:eastAsia="仿宋_GB2312" w:hAnsi="华文仿宋" w:cs="宋体" w:hint="eastAsia"/>
          <w:color w:val="333333"/>
          <w:kern w:val="0"/>
          <w:sz w:val="32"/>
          <w:szCs w:val="32"/>
        </w:rPr>
        <w:t>年</w:t>
      </w:r>
      <w:r w:rsidR="008F6A29">
        <w:rPr>
          <w:rFonts w:ascii="仿宋_GB2312" w:eastAsia="仿宋_GB2312" w:hAnsi="华文仿宋" w:cs="宋体" w:hint="eastAsia"/>
          <w:color w:val="333333"/>
          <w:kern w:val="0"/>
          <w:sz w:val="32"/>
          <w:szCs w:val="32"/>
        </w:rPr>
        <w:t>*</w:t>
      </w:r>
      <w:r w:rsidRPr="00143342">
        <w:rPr>
          <w:rFonts w:ascii="仿宋_GB2312" w:eastAsia="仿宋_GB2312" w:hAnsi="华文仿宋" w:cs="宋体" w:hint="eastAsia"/>
          <w:color w:val="333333"/>
          <w:kern w:val="0"/>
          <w:sz w:val="32"/>
          <w:szCs w:val="32"/>
        </w:rPr>
        <w:t>月</w:t>
      </w:r>
      <w:r w:rsidR="008F6A29">
        <w:rPr>
          <w:rFonts w:ascii="仿宋_GB2312" w:eastAsia="仿宋_GB2312" w:hAnsi="华文仿宋" w:cs="宋体" w:hint="eastAsia"/>
          <w:color w:val="333333"/>
          <w:kern w:val="0"/>
          <w:sz w:val="32"/>
          <w:szCs w:val="32"/>
        </w:rPr>
        <w:t>*</w:t>
      </w:r>
      <w:r w:rsidRPr="00143342">
        <w:rPr>
          <w:rFonts w:ascii="仿宋_GB2312" w:eastAsia="仿宋_GB2312" w:hAnsi="华文仿宋" w:cs="宋体" w:hint="eastAsia"/>
          <w:color w:val="333333"/>
          <w:kern w:val="0"/>
          <w:sz w:val="32"/>
          <w:szCs w:val="32"/>
        </w:rPr>
        <w:t>日起施行。</w:t>
      </w:r>
    </w:p>
    <w:p w:rsidR="001066D1" w:rsidRPr="00143342" w:rsidRDefault="001066D1" w:rsidP="002D1949">
      <w:pPr>
        <w:spacing w:line="560" w:lineRule="exact"/>
        <w:ind w:firstLineChars="200" w:firstLine="640"/>
        <w:rPr>
          <w:rFonts w:ascii="仿宋_GB2312" w:eastAsia="仿宋_GB2312" w:hAnsi="华文仿宋"/>
          <w:sz w:val="32"/>
          <w:szCs w:val="32"/>
        </w:rPr>
      </w:pPr>
    </w:p>
    <w:sectPr w:rsidR="001066D1" w:rsidRPr="00143342" w:rsidSect="00143342">
      <w:pgSz w:w="11906" w:h="16838"/>
      <w:pgMar w:top="2098" w:right="1474" w:bottom="1588"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39D" w:rsidRDefault="0057339D" w:rsidP="00CD3AA7">
      <w:r>
        <w:separator/>
      </w:r>
    </w:p>
  </w:endnote>
  <w:endnote w:type="continuationSeparator" w:id="0">
    <w:p w:rsidR="0057339D" w:rsidRDefault="0057339D" w:rsidP="00CD3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39D" w:rsidRDefault="0057339D" w:rsidP="00CD3AA7">
      <w:r>
        <w:separator/>
      </w:r>
    </w:p>
  </w:footnote>
  <w:footnote w:type="continuationSeparator" w:id="0">
    <w:p w:rsidR="0057339D" w:rsidRDefault="0057339D" w:rsidP="00CD3A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E41BF"/>
    <w:rsid w:val="00002A55"/>
    <w:rsid w:val="00003489"/>
    <w:rsid w:val="00023F77"/>
    <w:rsid w:val="00064F75"/>
    <w:rsid w:val="000822DC"/>
    <w:rsid w:val="00082472"/>
    <w:rsid w:val="000B0EDD"/>
    <w:rsid w:val="000E6CA4"/>
    <w:rsid w:val="001066D1"/>
    <w:rsid w:val="001076ED"/>
    <w:rsid w:val="00143342"/>
    <w:rsid w:val="00153B98"/>
    <w:rsid w:val="00154DF1"/>
    <w:rsid w:val="00156F17"/>
    <w:rsid w:val="0015750B"/>
    <w:rsid w:val="00176DAF"/>
    <w:rsid w:val="001A75AD"/>
    <w:rsid w:val="001E3E4C"/>
    <w:rsid w:val="002355AD"/>
    <w:rsid w:val="002469F8"/>
    <w:rsid w:val="00251545"/>
    <w:rsid w:val="002C55D0"/>
    <w:rsid w:val="002D1949"/>
    <w:rsid w:val="002D76AD"/>
    <w:rsid w:val="002E41BF"/>
    <w:rsid w:val="002E4E8B"/>
    <w:rsid w:val="002F75E9"/>
    <w:rsid w:val="00336DB1"/>
    <w:rsid w:val="003373B0"/>
    <w:rsid w:val="00350183"/>
    <w:rsid w:val="003627CC"/>
    <w:rsid w:val="003A6468"/>
    <w:rsid w:val="004318D0"/>
    <w:rsid w:val="00440464"/>
    <w:rsid w:val="0048063D"/>
    <w:rsid w:val="004B5F2B"/>
    <w:rsid w:val="004C04B1"/>
    <w:rsid w:val="005446C0"/>
    <w:rsid w:val="005501FB"/>
    <w:rsid w:val="0057339D"/>
    <w:rsid w:val="0059580E"/>
    <w:rsid w:val="005A0AF3"/>
    <w:rsid w:val="005A3201"/>
    <w:rsid w:val="005A3FE4"/>
    <w:rsid w:val="005B4977"/>
    <w:rsid w:val="005C26DD"/>
    <w:rsid w:val="005C5407"/>
    <w:rsid w:val="005C7C4F"/>
    <w:rsid w:val="005D5889"/>
    <w:rsid w:val="005E39DC"/>
    <w:rsid w:val="005E46FC"/>
    <w:rsid w:val="006135FA"/>
    <w:rsid w:val="006277CD"/>
    <w:rsid w:val="0063309E"/>
    <w:rsid w:val="006453C4"/>
    <w:rsid w:val="00654648"/>
    <w:rsid w:val="006757BB"/>
    <w:rsid w:val="00676077"/>
    <w:rsid w:val="006847DB"/>
    <w:rsid w:val="006A5C26"/>
    <w:rsid w:val="006B335D"/>
    <w:rsid w:val="006C725B"/>
    <w:rsid w:val="006C7B8A"/>
    <w:rsid w:val="006D4C7A"/>
    <w:rsid w:val="006D661E"/>
    <w:rsid w:val="006D7F72"/>
    <w:rsid w:val="006F082B"/>
    <w:rsid w:val="00740A35"/>
    <w:rsid w:val="007673A2"/>
    <w:rsid w:val="0077136E"/>
    <w:rsid w:val="00787767"/>
    <w:rsid w:val="00790EF8"/>
    <w:rsid w:val="007B2809"/>
    <w:rsid w:val="007E1267"/>
    <w:rsid w:val="007E3BF8"/>
    <w:rsid w:val="008030D9"/>
    <w:rsid w:val="00821ABC"/>
    <w:rsid w:val="00874135"/>
    <w:rsid w:val="00876303"/>
    <w:rsid w:val="008D1CE2"/>
    <w:rsid w:val="008D5CE2"/>
    <w:rsid w:val="008F6A29"/>
    <w:rsid w:val="00910D03"/>
    <w:rsid w:val="009171DA"/>
    <w:rsid w:val="00921AC5"/>
    <w:rsid w:val="009422E2"/>
    <w:rsid w:val="00976DD6"/>
    <w:rsid w:val="00992902"/>
    <w:rsid w:val="0099506C"/>
    <w:rsid w:val="009D48AA"/>
    <w:rsid w:val="00A11537"/>
    <w:rsid w:val="00A1648E"/>
    <w:rsid w:val="00A77DCB"/>
    <w:rsid w:val="00AA17BD"/>
    <w:rsid w:val="00AE56FE"/>
    <w:rsid w:val="00AE6BAF"/>
    <w:rsid w:val="00AF52C4"/>
    <w:rsid w:val="00B03927"/>
    <w:rsid w:val="00B05A29"/>
    <w:rsid w:val="00B10945"/>
    <w:rsid w:val="00B230C9"/>
    <w:rsid w:val="00B42D07"/>
    <w:rsid w:val="00B5791A"/>
    <w:rsid w:val="00B76800"/>
    <w:rsid w:val="00B84D16"/>
    <w:rsid w:val="00B93111"/>
    <w:rsid w:val="00BA1DCE"/>
    <w:rsid w:val="00BA45C0"/>
    <w:rsid w:val="00BD350F"/>
    <w:rsid w:val="00BE4C2C"/>
    <w:rsid w:val="00C14B45"/>
    <w:rsid w:val="00C21679"/>
    <w:rsid w:val="00C34DC6"/>
    <w:rsid w:val="00C4177D"/>
    <w:rsid w:val="00C640B4"/>
    <w:rsid w:val="00C6462B"/>
    <w:rsid w:val="00C93CF8"/>
    <w:rsid w:val="00CD3AA7"/>
    <w:rsid w:val="00CE1A3C"/>
    <w:rsid w:val="00D3633C"/>
    <w:rsid w:val="00D46825"/>
    <w:rsid w:val="00D643C9"/>
    <w:rsid w:val="00D67F18"/>
    <w:rsid w:val="00D830FC"/>
    <w:rsid w:val="00DB5ADF"/>
    <w:rsid w:val="00DC682C"/>
    <w:rsid w:val="00DD544B"/>
    <w:rsid w:val="00E0299B"/>
    <w:rsid w:val="00E14400"/>
    <w:rsid w:val="00E32E90"/>
    <w:rsid w:val="00E65414"/>
    <w:rsid w:val="00E75362"/>
    <w:rsid w:val="00E8514C"/>
    <w:rsid w:val="00EA0EFD"/>
    <w:rsid w:val="00ED433A"/>
    <w:rsid w:val="00ED751A"/>
    <w:rsid w:val="00EE53CA"/>
    <w:rsid w:val="00EF0DF0"/>
    <w:rsid w:val="00EF3426"/>
    <w:rsid w:val="00F54FC6"/>
    <w:rsid w:val="00F63E54"/>
    <w:rsid w:val="00F92DDE"/>
    <w:rsid w:val="00F978E0"/>
    <w:rsid w:val="00FA5A9F"/>
    <w:rsid w:val="00FB5E9C"/>
    <w:rsid w:val="00FE339D"/>
    <w:rsid w:val="00FF321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DF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D3AA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D3AA7"/>
    <w:rPr>
      <w:sz w:val="18"/>
      <w:szCs w:val="18"/>
    </w:rPr>
  </w:style>
  <w:style w:type="paragraph" w:styleId="a4">
    <w:name w:val="footer"/>
    <w:basedOn w:val="a"/>
    <w:link w:val="Char0"/>
    <w:uiPriority w:val="99"/>
    <w:unhideWhenUsed/>
    <w:rsid w:val="00CD3AA7"/>
    <w:pPr>
      <w:tabs>
        <w:tab w:val="center" w:pos="4153"/>
        <w:tab w:val="right" w:pos="8306"/>
      </w:tabs>
      <w:snapToGrid w:val="0"/>
      <w:jc w:val="left"/>
    </w:pPr>
    <w:rPr>
      <w:sz w:val="18"/>
      <w:szCs w:val="18"/>
    </w:rPr>
  </w:style>
  <w:style w:type="character" w:customStyle="1" w:styleId="Char0">
    <w:name w:val="页脚 Char"/>
    <w:basedOn w:val="a0"/>
    <w:link w:val="a4"/>
    <w:uiPriority w:val="99"/>
    <w:rsid w:val="00CD3AA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1832884">
      <w:bodyDiv w:val="1"/>
      <w:marLeft w:val="0"/>
      <w:marRight w:val="0"/>
      <w:marTop w:val="0"/>
      <w:marBottom w:val="0"/>
      <w:divBdr>
        <w:top w:val="none" w:sz="0" w:space="0" w:color="auto"/>
        <w:left w:val="none" w:sz="0" w:space="0" w:color="auto"/>
        <w:bottom w:val="none" w:sz="0" w:space="0" w:color="auto"/>
        <w:right w:val="none" w:sz="0" w:space="0" w:color="auto"/>
      </w:divBdr>
      <w:divsChild>
        <w:div w:id="1346517161">
          <w:marLeft w:val="0"/>
          <w:marRight w:val="0"/>
          <w:marTop w:val="450"/>
          <w:marBottom w:val="0"/>
          <w:divBdr>
            <w:top w:val="none" w:sz="0" w:space="0" w:color="auto"/>
            <w:left w:val="none" w:sz="0" w:space="0" w:color="auto"/>
            <w:bottom w:val="none" w:sz="0" w:space="0" w:color="auto"/>
            <w:right w:val="none" w:sz="0" w:space="0" w:color="auto"/>
          </w:divBdr>
        </w:div>
        <w:div w:id="1077480328">
          <w:marLeft w:val="0"/>
          <w:marRight w:val="0"/>
          <w:marTop w:val="5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322</Words>
  <Characters>1842</Characters>
  <Application>Microsoft Office Word</Application>
  <DocSecurity>0</DocSecurity>
  <Lines>15</Lines>
  <Paragraphs>4</Paragraphs>
  <ScaleCrop>false</ScaleCrop>
  <Company>Microsoft</Company>
  <LinksUpToDate>false</LinksUpToDate>
  <CharactersWithSpaces>2160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王进</dc:creator>
  <cp:lastModifiedBy>王进</cp:lastModifiedBy>
  <cp:revision>8</cp:revision>
  <cp:lastPrinted>2021-05-18T05:32:00Z</cp:lastPrinted>
  <dcterms:created xsi:type="dcterms:W3CDTF">2021-05-18T07:50:00Z</dcterms:created>
  <dcterms:modified xsi:type="dcterms:W3CDTF">2021-05-19T06:53:00Z</dcterms:modified>
</cp:coreProperties>
</file>