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overflowPunct/>
        <w:topLinePunct w:val="0"/>
        <w:autoSpaceDE/>
        <w:autoSpaceDN/>
        <w:bidi w:val="0"/>
        <w:adjustRightInd w:val="0"/>
        <w:snapToGrid w:val="0"/>
        <w:spacing w:line="560" w:lineRule="exact"/>
        <w:jc w:val="center"/>
        <w:rPr>
          <w:rFonts w:hint="eastAsia" w:ascii="Times New Roman" w:hAnsi="Times New Roman" w:eastAsia="方正小标宋简体" w:cs="Times New Roman"/>
          <w:sz w:val="44"/>
          <w:szCs w:val="44"/>
          <w:lang w:val="en-US" w:eastAsia="zh-CN"/>
        </w:rPr>
      </w:pPr>
      <w:r>
        <w:rPr>
          <w:rFonts w:hint="eastAsia" w:ascii="Times New Roman" w:hAnsi="Times New Roman" w:eastAsia="方正小标宋简体" w:cs="Times New Roman"/>
          <w:sz w:val="44"/>
          <w:szCs w:val="44"/>
          <w:lang w:val="en-US" w:eastAsia="zh-CN"/>
        </w:rPr>
        <w:t>苏州市生态环境行政处罚</w:t>
      </w:r>
    </w:p>
    <w:p>
      <w:pPr>
        <w:keepNext w:val="0"/>
        <w:keepLines w:val="0"/>
        <w:pageBreakBefore w:val="0"/>
        <w:kinsoku/>
        <w:overflowPunct/>
        <w:topLinePunct w:val="0"/>
        <w:autoSpaceDE/>
        <w:autoSpaceDN/>
        <w:bidi w:val="0"/>
        <w:adjustRightInd w:val="0"/>
        <w:snapToGrid w:val="0"/>
        <w:spacing w:line="560" w:lineRule="exact"/>
        <w:jc w:val="center"/>
        <w:rPr>
          <w:rFonts w:hint="eastAsia" w:ascii="Times New Roman" w:hAnsi="Times New Roman" w:eastAsia="方正小标宋简体" w:cs="Times New Roman"/>
          <w:sz w:val="44"/>
          <w:szCs w:val="44"/>
          <w:lang w:val="en-US" w:eastAsia="zh-CN"/>
        </w:rPr>
      </w:pPr>
      <w:r>
        <w:rPr>
          <w:rFonts w:hint="eastAsia" w:ascii="Times New Roman" w:hAnsi="Times New Roman" w:eastAsia="方正小标宋简体" w:cs="Times New Roman"/>
          <w:sz w:val="44"/>
          <w:szCs w:val="44"/>
          <w:lang w:val="en-US" w:eastAsia="zh-Hans"/>
        </w:rPr>
        <w:t>裁量基准</w:t>
      </w:r>
      <w:r>
        <w:rPr>
          <w:rFonts w:hint="eastAsia" w:ascii="Times New Roman" w:hAnsi="Times New Roman" w:eastAsia="方正小标宋简体" w:cs="Times New Roman"/>
          <w:sz w:val="44"/>
          <w:szCs w:val="44"/>
          <w:lang w:val="en-US" w:eastAsia="zh-CN"/>
        </w:rPr>
        <w:t>指引</w:t>
      </w:r>
    </w:p>
    <w:p>
      <w:pPr>
        <w:jc w:val="center"/>
        <w:rPr>
          <w:rFonts w:hint="eastAsia" w:ascii="仿宋_GB2312" w:hAnsi="仿宋_GB2312" w:eastAsia="仿宋_GB2312" w:cs="仿宋_GB2312"/>
          <w:sz w:val="28"/>
          <w:szCs w:val="28"/>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sz w:val="32"/>
          <w:szCs w:val="32"/>
          <w:lang w:val="en-US" w:eastAsia="zh-Hans"/>
        </w:rPr>
      </w:pPr>
      <w:r>
        <w:rPr>
          <w:rFonts w:hint="eastAsia" w:ascii="仿宋_GB2312" w:hAnsi="仿宋_GB2312" w:eastAsia="仿宋_GB2312" w:cs="仿宋_GB2312"/>
          <w:sz w:val="32"/>
          <w:szCs w:val="32"/>
          <w:lang w:val="en-US" w:eastAsia="zh-Hans"/>
        </w:rPr>
        <w:t>第一条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val="en-US" w:eastAsia="zh-Hans"/>
        </w:rPr>
        <w:t>为推进依法行政，进一步规范生态环境</w:t>
      </w:r>
      <w:r>
        <w:rPr>
          <w:rFonts w:hint="eastAsia" w:ascii="仿宋_GB2312" w:hAnsi="仿宋_GB2312" w:eastAsia="仿宋_GB2312" w:cs="仿宋_GB2312"/>
          <w:sz w:val="32"/>
          <w:szCs w:val="32"/>
          <w:lang w:val="en-US" w:eastAsia="zh-CN"/>
        </w:rPr>
        <w:t>行政处罚</w:t>
      </w:r>
      <w:r>
        <w:rPr>
          <w:rFonts w:hint="eastAsia" w:ascii="仿宋_GB2312" w:hAnsi="仿宋_GB2312" w:eastAsia="仿宋_GB2312" w:cs="仿宋_GB2312"/>
          <w:sz w:val="32"/>
          <w:szCs w:val="32"/>
          <w:lang w:val="en-US" w:eastAsia="zh-Hans"/>
        </w:rPr>
        <w:t>裁量权的行使，依据《中华人民共和国行政处罚法》《生态环境行政处罚办法》《关于进一步做好行政裁量权基准制定和管理工作的通知》</w:t>
      </w:r>
      <w:r>
        <w:rPr>
          <w:rFonts w:hint="eastAsia" w:ascii="仿宋_GB2312" w:hAnsi="仿宋_GB2312" w:eastAsia="仿宋_GB2312" w:cs="仿宋_GB2312"/>
          <w:sz w:val="32"/>
          <w:szCs w:val="32"/>
          <w:lang w:val="en-US" w:eastAsia="zh-CN"/>
        </w:rPr>
        <w:t>《江苏省生态环境行政处罚裁量基准规定》</w:t>
      </w:r>
      <w:r>
        <w:rPr>
          <w:rFonts w:hint="eastAsia" w:ascii="仿宋_GB2312" w:hAnsi="仿宋_GB2312" w:eastAsia="仿宋_GB2312" w:cs="仿宋_GB2312"/>
          <w:sz w:val="32"/>
          <w:szCs w:val="32"/>
          <w:lang w:val="en-US" w:eastAsia="zh-Hans"/>
        </w:rPr>
        <w:t>等规定，结合本</w:t>
      </w:r>
      <w:r>
        <w:rPr>
          <w:rFonts w:hint="eastAsia" w:ascii="仿宋_GB2312" w:hAnsi="仿宋_GB2312" w:eastAsia="仿宋_GB2312" w:cs="仿宋_GB2312"/>
          <w:sz w:val="32"/>
          <w:szCs w:val="32"/>
          <w:lang w:val="en-US" w:eastAsia="zh-CN"/>
        </w:rPr>
        <w:t>市生态环境系统</w:t>
      </w:r>
      <w:r>
        <w:rPr>
          <w:rFonts w:hint="eastAsia" w:ascii="仿宋_GB2312" w:hAnsi="仿宋_GB2312" w:eastAsia="仿宋_GB2312" w:cs="仿宋_GB2312"/>
          <w:sz w:val="32"/>
          <w:szCs w:val="32"/>
          <w:lang w:val="en-US" w:eastAsia="zh-Hans"/>
        </w:rPr>
        <w:t>实际情况，制定本</w:t>
      </w:r>
      <w:r>
        <w:rPr>
          <w:rFonts w:hint="eastAsia" w:ascii="仿宋_GB2312" w:hAnsi="仿宋_GB2312" w:eastAsia="仿宋_GB2312" w:cs="仿宋_GB2312"/>
          <w:sz w:val="32"/>
          <w:szCs w:val="32"/>
          <w:lang w:val="en-US" w:eastAsia="zh-CN"/>
        </w:rPr>
        <w:t>指引</w:t>
      </w:r>
      <w:r>
        <w:rPr>
          <w:rFonts w:hint="eastAsia" w:ascii="仿宋_GB2312" w:hAnsi="仿宋_GB2312" w:eastAsia="仿宋_GB2312" w:cs="仿宋_GB2312"/>
          <w:sz w:val="32"/>
          <w:szCs w:val="32"/>
          <w:lang w:val="en-US" w:eastAsia="zh-Hans"/>
        </w:rPr>
        <w:t>。</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Hans"/>
        </w:rPr>
        <w:t>第二条</w:t>
      </w:r>
      <w:r>
        <w:rPr>
          <w:rFonts w:hint="eastAsia" w:ascii="仿宋_GB2312" w:hAnsi="仿宋_GB2312" w:eastAsia="仿宋_GB2312" w:cs="仿宋_GB2312"/>
          <w:sz w:val="32"/>
          <w:szCs w:val="32"/>
          <w:lang w:val="en-US" w:eastAsia="zh-CN"/>
        </w:rPr>
        <w:t xml:space="preserve"> 本指引适用于《苏州市市设行政权力事项清单》中明确由生态环境部门行使的行政处罚事项的裁量。</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sz w:val="32"/>
          <w:szCs w:val="32"/>
          <w:lang w:val="en-US" w:eastAsia="zh-Hans"/>
        </w:rPr>
      </w:pPr>
      <w:r>
        <w:rPr>
          <w:rFonts w:hint="eastAsia" w:ascii="仿宋_GB2312" w:hAnsi="仿宋_GB2312" w:eastAsia="仿宋_GB2312" w:cs="仿宋_GB2312"/>
          <w:sz w:val="32"/>
          <w:szCs w:val="32"/>
          <w:lang w:val="en-US" w:eastAsia="zh-Hans"/>
        </w:rPr>
        <w:t>第三条</w:t>
      </w:r>
      <w:r>
        <w:rPr>
          <w:rFonts w:hint="eastAsia" w:ascii="仿宋_GB2312" w:hAnsi="仿宋_GB2312" w:eastAsia="仿宋_GB2312" w:cs="仿宋_GB2312"/>
          <w:sz w:val="32"/>
          <w:szCs w:val="32"/>
          <w:lang w:val="en-US" w:eastAsia="zh-CN"/>
        </w:rPr>
        <w:t xml:space="preserve"> 生态环境行政处罚裁量基准</w:t>
      </w:r>
      <w:r>
        <w:rPr>
          <w:rFonts w:hint="eastAsia" w:ascii="仿宋_GB2312" w:hAnsi="仿宋_GB2312" w:eastAsia="仿宋_GB2312" w:cs="仿宋_GB2312"/>
          <w:sz w:val="32"/>
          <w:szCs w:val="32"/>
          <w:lang w:val="en-US" w:eastAsia="zh-Hans"/>
        </w:rPr>
        <w:t>，是指生态环境部门结合行政执法实践，对</w:t>
      </w:r>
      <w:r>
        <w:rPr>
          <w:rFonts w:hint="eastAsia" w:ascii="仿宋_GB2312" w:hAnsi="仿宋_GB2312" w:eastAsia="仿宋_GB2312" w:cs="仿宋_GB2312"/>
          <w:sz w:val="32"/>
          <w:szCs w:val="32"/>
          <w:lang w:val="en-US" w:eastAsia="zh-CN"/>
        </w:rPr>
        <w:t>行政处罚</w:t>
      </w:r>
      <w:bookmarkStart w:id="0" w:name="_GoBack"/>
      <w:bookmarkEnd w:id="0"/>
      <w:r>
        <w:rPr>
          <w:rFonts w:hint="eastAsia" w:ascii="仿宋_GB2312" w:hAnsi="仿宋_GB2312" w:eastAsia="仿宋_GB2312" w:cs="仿宋_GB2312"/>
          <w:sz w:val="32"/>
          <w:szCs w:val="32"/>
          <w:lang w:val="en-US" w:eastAsia="zh-Hans"/>
        </w:rPr>
        <w:t>裁量的适用条件、适用情形等予以细化、量化而形成的具体标准。</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Hans"/>
        </w:rPr>
        <w:t>第四条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val="en-US" w:eastAsia="zh-Hans"/>
        </w:rPr>
        <w:t>适用</w:t>
      </w:r>
      <w:r>
        <w:rPr>
          <w:rFonts w:hint="eastAsia" w:ascii="仿宋_GB2312" w:hAnsi="仿宋_GB2312" w:eastAsia="仿宋_GB2312" w:cs="仿宋_GB2312"/>
          <w:sz w:val="32"/>
          <w:szCs w:val="32"/>
          <w:lang w:val="en-US" w:eastAsia="zh-CN"/>
        </w:rPr>
        <w:t>本裁量</w:t>
      </w:r>
      <w:r>
        <w:rPr>
          <w:rFonts w:hint="eastAsia" w:ascii="仿宋_GB2312" w:hAnsi="仿宋_GB2312" w:eastAsia="仿宋_GB2312" w:cs="仿宋_GB2312"/>
          <w:sz w:val="32"/>
          <w:szCs w:val="32"/>
          <w:lang w:val="en-US" w:eastAsia="zh-Hans"/>
        </w:rPr>
        <w:t>基准，应当遵循</w:t>
      </w:r>
      <w:r>
        <w:rPr>
          <w:rFonts w:hint="eastAsia" w:ascii="仿宋_GB2312" w:hAnsi="仿宋_GB2312" w:eastAsia="仿宋_GB2312" w:cs="仿宋_GB2312"/>
          <w:sz w:val="32"/>
          <w:szCs w:val="32"/>
          <w:lang w:val="en-US" w:eastAsia="zh-CN"/>
        </w:rPr>
        <w:t>合</w:t>
      </w:r>
      <w:r>
        <w:rPr>
          <w:rFonts w:hint="eastAsia" w:ascii="仿宋_GB2312" w:hAnsi="仿宋_GB2312" w:eastAsia="仿宋_GB2312" w:cs="仿宋_GB2312"/>
          <w:sz w:val="32"/>
          <w:szCs w:val="32"/>
          <w:lang w:val="en-US" w:eastAsia="zh-Hans"/>
        </w:rPr>
        <w:t>法、合理、过</w:t>
      </w:r>
      <w:r>
        <w:rPr>
          <w:rFonts w:hint="eastAsia" w:ascii="仿宋_GB2312" w:hAnsi="仿宋_GB2312" w:eastAsia="仿宋_GB2312" w:cs="仿宋_GB2312"/>
          <w:sz w:val="32"/>
          <w:szCs w:val="32"/>
          <w:lang w:val="en-US" w:eastAsia="zh-CN"/>
        </w:rPr>
        <w:t>罚</w:t>
      </w:r>
      <w:r>
        <w:rPr>
          <w:rFonts w:hint="eastAsia" w:ascii="仿宋_GB2312" w:hAnsi="仿宋_GB2312" w:eastAsia="仿宋_GB2312" w:cs="仿宋_GB2312"/>
          <w:sz w:val="32"/>
          <w:szCs w:val="32"/>
          <w:lang w:val="en-US" w:eastAsia="zh-Hans"/>
        </w:rPr>
        <w:t>相当及公开公平</w:t>
      </w:r>
      <w:r>
        <w:rPr>
          <w:rFonts w:hint="eastAsia" w:ascii="仿宋_GB2312" w:hAnsi="仿宋_GB2312" w:eastAsia="仿宋_GB2312" w:cs="仿宋_GB2312"/>
          <w:sz w:val="32"/>
          <w:szCs w:val="32"/>
          <w:lang w:val="en-US" w:eastAsia="zh-CN"/>
        </w:rPr>
        <w:t>公正原则。</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sz w:val="32"/>
          <w:szCs w:val="32"/>
          <w:lang w:val="en-US" w:eastAsia="zh-Hans"/>
        </w:rPr>
      </w:pPr>
      <w:r>
        <w:rPr>
          <w:rFonts w:hint="eastAsia" w:ascii="仿宋_GB2312" w:hAnsi="仿宋_GB2312" w:eastAsia="仿宋_GB2312" w:cs="仿宋_GB2312"/>
          <w:sz w:val="32"/>
          <w:szCs w:val="32"/>
          <w:lang w:val="en-US" w:eastAsia="zh-Hans"/>
        </w:rPr>
        <w:t>合法原则</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val="en-US" w:eastAsia="zh-Hans"/>
        </w:rPr>
        <w:t>适用本裁量基准应当在法律、法规、规章确定的</w:t>
      </w:r>
      <w:r>
        <w:rPr>
          <w:rFonts w:hint="eastAsia" w:ascii="仿宋_GB2312" w:hAnsi="仿宋_GB2312" w:eastAsia="仿宋_GB2312" w:cs="仿宋_GB2312"/>
          <w:sz w:val="32"/>
          <w:szCs w:val="32"/>
          <w:lang w:val="en-US" w:eastAsia="zh-CN"/>
        </w:rPr>
        <w:t>裁量条件、种类、范围、幅度内行使</w:t>
      </w:r>
      <w:r>
        <w:rPr>
          <w:rFonts w:hint="eastAsia" w:ascii="仿宋_GB2312" w:hAnsi="仿宋_GB2312" w:eastAsia="仿宋_GB2312" w:cs="仿宋_GB2312"/>
          <w:sz w:val="32"/>
          <w:szCs w:val="32"/>
          <w:lang w:val="en-US" w:eastAsia="zh-Hans"/>
        </w:rPr>
        <w:t>。</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Hans"/>
        </w:rPr>
        <w:t>合理原则</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val="en-US" w:eastAsia="zh-Hans"/>
        </w:rPr>
        <w:t>适用本裁量基准应当综合考虑经济社会发展</w:t>
      </w:r>
      <w:r>
        <w:rPr>
          <w:rFonts w:hint="eastAsia" w:ascii="仿宋_GB2312" w:hAnsi="仿宋_GB2312" w:eastAsia="仿宋_GB2312" w:cs="仿宋_GB2312"/>
          <w:sz w:val="32"/>
          <w:szCs w:val="32"/>
          <w:lang w:val="en-US" w:eastAsia="zh-CN"/>
        </w:rPr>
        <w:t>状</w:t>
      </w:r>
      <w:r>
        <w:rPr>
          <w:rFonts w:hint="eastAsia" w:ascii="仿宋_GB2312" w:hAnsi="仿宋_GB2312" w:eastAsia="仿宋_GB2312" w:cs="仿宋_GB2312"/>
          <w:sz w:val="32"/>
          <w:szCs w:val="32"/>
          <w:lang w:val="en-US" w:eastAsia="zh-Hans"/>
        </w:rPr>
        <w:t>况、当事人情况、危害后果等因素，所采取的措施和手段应当科学、必要</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val="en-US" w:eastAsia="zh-Hans"/>
        </w:rPr>
        <w:t>适当</w:t>
      </w:r>
      <w:r>
        <w:rPr>
          <w:rFonts w:hint="eastAsia" w:ascii="仿宋_GB2312" w:hAnsi="仿宋_GB2312" w:eastAsia="仿宋_GB2312" w:cs="仿宋_GB2312"/>
          <w:sz w:val="32"/>
          <w:szCs w:val="32"/>
          <w:lang w:val="en-US" w:eastAsia="zh-CN"/>
        </w:rPr>
        <w:t>。</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sz w:val="32"/>
          <w:szCs w:val="32"/>
          <w:lang w:val="en-US" w:eastAsia="zh-Hans"/>
        </w:rPr>
      </w:pPr>
      <w:r>
        <w:rPr>
          <w:rFonts w:hint="eastAsia" w:ascii="仿宋_GB2312" w:hAnsi="仿宋_GB2312" w:eastAsia="仿宋_GB2312" w:cs="仿宋_GB2312"/>
          <w:sz w:val="32"/>
          <w:szCs w:val="32"/>
          <w:lang w:val="en-US" w:eastAsia="zh-Hans"/>
        </w:rPr>
        <w:t>过罚相当原则</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val="en-US" w:eastAsia="zh-Hans"/>
        </w:rPr>
        <w:t>适用</w:t>
      </w:r>
      <w:r>
        <w:rPr>
          <w:rFonts w:hint="eastAsia" w:ascii="仿宋_GB2312" w:hAnsi="仿宋_GB2312" w:eastAsia="仿宋_GB2312" w:cs="仿宋_GB2312"/>
          <w:sz w:val="32"/>
          <w:szCs w:val="32"/>
          <w:lang w:val="en-US" w:eastAsia="zh-CN"/>
        </w:rPr>
        <w:t>本裁量</w:t>
      </w:r>
      <w:r>
        <w:rPr>
          <w:rFonts w:hint="eastAsia" w:ascii="仿宋_GB2312" w:hAnsi="仿宋_GB2312" w:eastAsia="仿宋_GB2312" w:cs="仿宋_GB2312"/>
          <w:sz w:val="32"/>
          <w:szCs w:val="32"/>
          <w:lang w:val="en-US" w:eastAsia="zh-Hans"/>
        </w:rPr>
        <w:t>基准，处罚种类和幅度应当与当事人过错程度、行为性质、情节以及社会危害程度相当。</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sz w:val="32"/>
          <w:szCs w:val="32"/>
          <w:lang w:val="en-US" w:eastAsia="zh-Hans"/>
        </w:rPr>
      </w:pPr>
      <w:r>
        <w:rPr>
          <w:rFonts w:hint="eastAsia" w:ascii="仿宋_GB2312" w:hAnsi="仿宋_GB2312" w:eastAsia="仿宋_GB2312" w:cs="仿宋_GB2312"/>
          <w:sz w:val="32"/>
          <w:szCs w:val="32"/>
          <w:lang w:val="en-US" w:eastAsia="zh-Hans"/>
        </w:rPr>
        <w:t>公开公平公正原则</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val="en-US" w:eastAsia="zh-Hans"/>
        </w:rPr>
        <w:t>适用本裁量基准，应当向社会公开</w:t>
      </w:r>
      <w:r>
        <w:rPr>
          <w:rFonts w:hint="eastAsia" w:ascii="仿宋_GB2312" w:hAnsi="仿宋_GB2312" w:eastAsia="仿宋_GB2312" w:cs="仿宋_GB2312"/>
          <w:sz w:val="32"/>
          <w:szCs w:val="32"/>
          <w:lang w:val="en-US" w:eastAsia="zh-CN"/>
        </w:rPr>
        <w:t>裁量</w:t>
      </w:r>
      <w:r>
        <w:rPr>
          <w:rFonts w:hint="eastAsia" w:ascii="仿宋_GB2312" w:hAnsi="仿宋_GB2312" w:eastAsia="仿宋_GB2312" w:cs="仿宋_GB2312"/>
          <w:sz w:val="32"/>
          <w:szCs w:val="32"/>
          <w:lang w:val="en-US" w:eastAsia="zh-Hans"/>
        </w:rPr>
        <w:t>标准</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val="en-US" w:eastAsia="zh-Hans"/>
        </w:rPr>
        <w:t>应当平等对待当事人，公平、公正实施处罚，对情节相同或者相似</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val="en-US" w:eastAsia="zh-Hans"/>
        </w:rPr>
        <w:t>社会危害程度相当的同类违法行为，行政处罚种类和幅度应当相当。</w:t>
      </w:r>
    </w:p>
    <w:p>
      <w:pPr>
        <w:keepNext w:val="0"/>
        <w:keepLines w:val="0"/>
        <w:pageBreakBefore w:val="0"/>
        <w:widowControl w:val="0"/>
        <w:numPr>
          <w:ilvl w:val="0"/>
          <w:numId w:val="1"/>
        </w:numPr>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sz w:val="32"/>
          <w:szCs w:val="32"/>
          <w:lang w:val="en-US" w:eastAsia="zh-Hans"/>
        </w:rPr>
      </w:pPr>
      <w:r>
        <w:rPr>
          <w:rFonts w:hint="eastAsia" w:ascii="仿宋_GB2312" w:hAnsi="仿宋_GB2312" w:eastAsia="仿宋_GB2312" w:cs="仿宋_GB2312"/>
          <w:sz w:val="32"/>
          <w:szCs w:val="32"/>
          <w:lang w:val="en-US" w:eastAsia="zh-CN"/>
        </w:rPr>
        <w:t>本裁量基准</w:t>
      </w:r>
      <w:r>
        <w:rPr>
          <w:rFonts w:hint="eastAsia" w:ascii="仿宋_GB2312" w:hAnsi="仿宋_GB2312" w:eastAsia="仿宋_GB2312" w:cs="仿宋_GB2312"/>
          <w:sz w:val="32"/>
          <w:szCs w:val="32"/>
          <w:lang w:val="en-US" w:eastAsia="zh-Hans"/>
        </w:rPr>
        <w:t>的罚款金额裁量采用百分比模式。</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sz w:val="32"/>
          <w:szCs w:val="32"/>
          <w:lang w:val="en-US" w:eastAsia="zh-Hans"/>
        </w:rPr>
      </w:pPr>
      <w:r>
        <w:rPr>
          <w:rFonts w:hint="eastAsia" w:ascii="仿宋_GB2312" w:hAnsi="仿宋_GB2312" w:eastAsia="仿宋_GB2312" w:cs="仿宋_GB2312"/>
          <w:sz w:val="32"/>
          <w:szCs w:val="32"/>
          <w:lang w:val="en-US" w:eastAsia="zh-Hans"/>
        </w:rPr>
        <w:t>百分比模式是指根据生态环境违法行为设定裁量起点和若干裁量因素，对裁量起点和各裁量因素在总百分值以内分别确定若干具体百分值，将生态环境违法行为对应的各项具体百分值累加后，乘以生态环境违法行为法定最高罚款数额，得出罚款金额的模式。</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sz w:val="32"/>
          <w:szCs w:val="32"/>
          <w:lang w:val="en-US" w:eastAsia="zh-Hans"/>
        </w:rPr>
      </w:pPr>
      <w:r>
        <w:rPr>
          <w:rFonts w:hint="eastAsia" w:ascii="仿宋_GB2312" w:hAnsi="仿宋_GB2312" w:eastAsia="仿宋_GB2312" w:cs="仿宋_GB2312"/>
          <w:sz w:val="32"/>
          <w:szCs w:val="32"/>
          <w:lang w:val="en-US" w:eastAsia="zh-Hans"/>
        </w:rPr>
        <w:t>第六条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val="en-US" w:eastAsia="zh-Hans"/>
        </w:rPr>
        <w:t>裁量因素是指影响生态环境违法行为裁量的因素，并根据违法情节的轻重程度细化为若干具体适用情形，即裁量因子。</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Hans"/>
        </w:rPr>
        <w:t>裁量因素的设置主要考虑以下内容</w:t>
      </w:r>
      <w:r>
        <w:rPr>
          <w:rFonts w:hint="eastAsia" w:ascii="仿宋_GB2312" w:hAnsi="仿宋_GB2312" w:eastAsia="仿宋_GB2312" w:cs="仿宋_GB2312"/>
          <w:sz w:val="32"/>
          <w:szCs w:val="32"/>
          <w:lang w:val="en-US" w:eastAsia="zh-CN"/>
        </w:rPr>
        <w:t>：</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sz w:val="32"/>
          <w:szCs w:val="32"/>
          <w:lang w:val="en-US" w:eastAsia="zh-Hans"/>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val="en-US" w:eastAsia="zh-Hans"/>
        </w:rPr>
        <w:t>违法行为所造成的环境污染、生态破坏</w:t>
      </w:r>
      <w:r>
        <w:rPr>
          <w:rFonts w:hint="eastAsia" w:ascii="仿宋_GB2312" w:hAnsi="仿宋_GB2312" w:eastAsia="仿宋_GB2312" w:cs="仿宋_GB2312"/>
          <w:sz w:val="32"/>
          <w:szCs w:val="32"/>
          <w:lang w:val="en-US" w:eastAsia="zh-CN"/>
        </w:rPr>
        <w:t>以及</w:t>
      </w:r>
      <w:r>
        <w:rPr>
          <w:rFonts w:hint="eastAsia" w:ascii="仿宋_GB2312" w:hAnsi="仿宋_GB2312" w:eastAsia="仿宋_GB2312" w:cs="仿宋_GB2312"/>
          <w:sz w:val="32"/>
          <w:szCs w:val="32"/>
          <w:lang w:val="en-US" w:eastAsia="zh-Hans"/>
        </w:rPr>
        <w:t>社会影响;</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sz w:val="32"/>
          <w:szCs w:val="32"/>
          <w:lang w:val="en-US" w:eastAsia="zh-Hans"/>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val="en-US" w:eastAsia="zh-Hans"/>
        </w:rPr>
        <w:t>当事人的</w:t>
      </w:r>
      <w:r>
        <w:rPr>
          <w:rFonts w:hint="eastAsia" w:ascii="仿宋_GB2312" w:hAnsi="仿宋_GB2312" w:eastAsia="仿宋_GB2312" w:cs="仿宋_GB2312"/>
          <w:sz w:val="32"/>
          <w:szCs w:val="32"/>
          <w:lang w:val="en-US" w:eastAsia="zh-CN"/>
        </w:rPr>
        <w:t>主观</w:t>
      </w:r>
      <w:r>
        <w:rPr>
          <w:rFonts w:hint="eastAsia" w:ascii="仿宋_GB2312" w:hAnsi="仿宋_GB2312" w:eastAsia="仿宋_GB2312" w:cs="仿宋_GB2312"/>
          <w:sz w:val="32"/>
          <w:szCs w:val="32"/>
          <w:lang w:val="en-US" w:eastAsia="zh-Hans"/>
        </w:rPr>
        <w:t>过错程度;</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lang w:val="en-US" w:eastAsia="zh-Hans"/>
        </w:rPr>
        <w:t>违法行为的具体方式或者手段</w:t>
      </w:r>
      <w:r>
        <w:rPr>
          <w:rFonts w:hint="eastAsia" w:ascii="仿宋_GB2312" w:hAnsi="仿宋_GB2312" w:eastAsia="仿宋_GB2312" w:cs="仿宋_GB2312"/>
          <w:sz w:val="32"/>
          <w:szCs w:val="32"/>
          <w:lang w:val="en-US" w:eastAsia="zh-CN"/>
        </w:rPr>
        <w:t>；</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（4）违法行为持续的时间；</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（5）违法行为危害的具体对象；</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sz w:val="32"/>
          <w:szCs w:val="32"/>
          <w:lang w:val="en-US" w:eastAsia="zh-Hans"/>
        </w:rPr>
      </w:pPr>
      <w:r>
        <w:rPr>
          <w:rFonts w:hint="eastAsia" w:ascii="仿宋_GB2312" w:hAnsi="仿宋_GB2312" w:eastAsia="仿宋_GB2312" w:cs="仿宋_GB2312"/>
          <w:sz w:val="32"/>
          <w:szCs w:val="32"/>
          <w:lang w:val="en-US" w:eastAsia="zh-CN"/>
        </w:rPr>
        <w:t>（6）当事人是初次违法还是再次违法；</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（7）当事人改正违法行为的态度和所采取的改正措施及效果。</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同类违法行为的情节相同或者相似、社会危害程度相当的，行政处罚种类和幅度应当相当。</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附件 苏州市生态环境行政处罚裁量基准表</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br w:type="page"/>
      </w:r>
    </w:p>
    <w:p>
      <w:pPr>
        <w:keepNext w:val="0"/>
        <w:keepLines w:val="0"/>
        <w:pageBreakBefore w:val="0"/>
        <w:widowControl w:val="0"/>
        <w:kinsoku/>
        <w:wordWrap/>
        <w:overflowPunct/>
        <w:topLinePunct w:val="0"/>
        <w:autoSpaceDE/>
        <w:autoSpaceDN/>
        <w:bidi w:val="0"/>
        <w:adjustRightInd/>
        <w:snapToGrid/>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附件</w:t>
      </w:r>
    </w:p>
    <w:p>
      <w:pPr>
        <w:keepNext w:val="0"/>
        <w:keepLines w:val="0"/>
        <w:pageBreakBefore w:val="0"/>
        <w:kinsoku/>
        <w:overflowPunct/>
        <w:topLinePunct w:val="0"/>
        <w:autoSpaceDE/>
        <w:autoSpaceDN/>
        <w:bidi w:val="0"/>
        <w:adjustRightInd w:val="0"/>
        <w:snapToGrid w:val="0"/>
        <w:spacing w:line="560" w:lineRule="exact"/>
        <w:jc w:val="center"/>
        <w:rPr>
          <w:rFonts w:hint="eastAsia" w:ascii="Times New Roman" w:hAnsi="Times New Roman" w:eastAsia="方正小标宋简体" w:cs="Times New Roman"/>
          <w:sz w:val="44"/>
          <w:szCs w:val="44"/>
          <w:lang w:val="en-US" w:eastAsia="zh-CN"/>
        </w:rPr>
      </w:pPr>
      <w:r>
        <w:rPr>
          <w:rFonts w:hint="eastAsia" w:ascii="Times New Roman" w:hAnsi="Times New Roman" w:eastAsia="方正小标宋简体" w:cs="Times New Roman"/>
          <w:sz w:val="44"/>
          <w:szCs w:val="44"/>
          <w:lang w:val="en-US" w:eastAsia="zh-CN"/>
        </w:rPr>
        <w:t>苏州市生态环境行政处罚</w:t>
      </w:r>
    </w:p>
    <w:p>
      <w:pPr>
        <w:pStyle w:val="7"/>
        <w:rPr>
          <w:rFonts w:hint="eastAsia"/>
        </w:rPr>
      </w:pPr>
      <w:r>
        <w:rPr>
          <w:rFonts w:hint="eastAsia" w:ascii="Times New Roman" w:hAnsi="Times New Roman" w:eastAsia="方正小标宋简体" w:cs="Times New Roman"/>
          <w:sz w:val="44"/>
          <w:szCs w:val="44"/>
          <w:lang w:val="en-US" w:eastAsia="zh-CN"/>
        </w:rPr>
        <w:t>裁量基准表</w:t>
      </w:r>
    </w:p>
    <w:tbl>
      <w:tblPr>
        <w:tblStyle w:val="5"/>
        <w:tblW w:w="89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10"/>
        <w:gridCol w:w="2945"/>
        <w:gridCol w:w="3437"/>
        <w:gridCol w:w="18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序号</w:t>
            </w:r>
          </w:p>
        </w:tc>
        <w:tc>
          <w:tcPr>
            <w:tcW w:w="2945" w:type="dxa"/>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裁量因素</w:t>
            </w:r>
          </w:p>
        </w:tc>
        <w:tc>
          <w:tcPr>
            <w:tcW w:w="3437" w:type="dxa"/>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裁量因子</w:t>
            </w:r>
          </w:p>
        </w:tc>
        <w:tc>
          <w:tcPr>
            <w:tcW w:w="1888" w:type="dxa"/>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裁量百分值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2" w:type="dxa"/>
            <w:gridSpan w:val="3"/>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裁量起点</w:t>
            </w:r>
          </w:p>
        </w:tc>
        <w:tc>
          <w:tcPr>
            <w:tcW w:w="1888"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vMerge w:val="restart"/>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w:t>
            </w:r>
          </w:p>
        </w:tc>
        <w:tc>
          <w:tcPr>
            <w:tcW w:w="2945" w:type="dxa"/>
            <w:vMerge w:val="restart"/>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违法行为的环境影响程度</w:t>
            </w:r>
          </w:p>
        </w:tc>
        <w:tc>
          <w:tcPr>
            <w:tcW w:w="3437" w:type="dxa"/>
          </w:tcPr>
          <w:p>
            <w:pPr>
              <w:jc w:val="left"/>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小</w:t>
            </w:r>
          </w:p>
        </w:tc>
        <w:tc>
          <w:tcPr>
            <w:tcW w:w="1888"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vMerge w:val="continue"/>
            <w:vAlign w:val="center"/>
          </w:tcPr>
          <w:p>
            <w:pPr>
              <w:jc w:val="center"/>
              <w:rPr>
                <w:rFonts w:hint="eastAsia" w:ascii="仿宋_GB2312" w:hAnsi="仿宋_GB2312" w:eastAsia="仿宋_GB2312" w:cs="仿宋_GB2312"/>
                <w:sz w:val="24"/>
                <w:szCs w:val="24"/>
                <w:vertAlign w:val="baseline"/>
              </w:rPr>
            </w:pPr>
          </w:p>
        </w:tc>
        <w:tc>
          <w:tcPr>
            <w:tcW w:w="2945" w:type="dxa"/>
            <w:vMerge w:val="continue"/>
          </w:tcPr>
          <w:p>
            <w:pPr>
              <w:jc w:val="center"/>
              <w:rPr>
                <w:rFonts w:hint="eastAsia" w:ascii="仿宋_GB2312" w:hAnsi="仿宋_GB2312" w:eastAsia="仿宋_GB2312" w:cs="仿宋_GB2312"/>
                <w:sz w:val="24"/>
                <w:szCs w:val="24"/>
                <w:vertAlign w:val="baseline"/>
              </w:rPr>
            </w:pPr>
          </w:p>
        </w:tc>
        <w:tc>
          <w:tcPr>
            <w:tcW w:w="3437" w:type="dxa"/>
          </w:tcPr>
          <w:p>
            <w:pPr>
              <w:jc w:val="left"/>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中</w:t>
            </w:r>
          </w:p>
        </w:tc>
        <w:tc>
          <w:tcPr>
            <w:tcW w:w="1888"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vMerge w:val="continue"/>
            <w:vAlign w:val="center"/>
          </w:tcPr>
          <w:p>
            <w:pPr>
              <w:jc w:val="center"/>
              <w:rPr>
                <w:rFonts w:hint="eastAsia" w:ascii="仿宋_GB2312" w:hAnsi="仿宋_GB2312" w:eastAsia="仿宋_GB2312" w:cs="仿宋_GB2312"/>
                <w:sz w:val="24"/>
                <w:szCs w:val="24"/>
                <w:vertAlign w:val="baseline"/>
              </w:rPr>
            </w:pPr>
          </w:p>
        </w:tc>
        <w:tc>
          <w:tcPr>
            <w:tcW w:w="2945" w:type="dxa"/>
            <w:vMerge w:val="continue"/>
          </w:tcPr>
          <w:p>
            <w:pPr>
              <w:jc w:val="center"/>
              <w:rPr>
                <w:rFonts w:hint="eastAsia" w:ascii="仿宋_GB2312" w:hAnsi="仿宋_GB2312" w:eastAsia="仿宋_GB2312" w:cs="仿宋_GB2312"/>
                <w:sz w:val="24"/>
                <w:szCs w:val="24"/>
                <w:vertAlign w:val="baseline"/>
              </w:rPr>
            </w:pPr>
          </w:p>
        </w:tc>
        <w:tc>
          <w:tcPr>
            <w:tcW w:w="3437" w:type="dxa"/>
          </w:tcPr>
          <w:p>
            <w:pPr>
              <w:jc w:val="left"/>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大</w:t>
            </w:r>
          </w:p>
        </w:tc>
        <w:tc>
          <w:tcPr>
            <w:tcW w:w="1888"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vMerge w:val="continue"/>
            <w:vAlign w:val="center"/>
          </w:tcPr>
          <w:p>
            <w:pPr>
              <w:jc w:val="center"/>
              <w:rPr>
                <w:rFonts w:hint="eastAsia" w:ascii="仿宋_GB2312" w:hAnsi="仿宋_GB2312" w:eastAsia="仿宋_GB2312" w:cs="仿宋_GB2312"/>
                <w:sz w:val="24"/>
                <w:szCs w:val="24"/>
                <w:vertAlign w:val="baseline"/>
              </w:rPr>
            </w:pPr>
          </w:p>
        </w:tc>
        <w:tc>
          <w:tcPr>
            <w:tcW w:w="2945" w:type="dxa"/>
            <w:vMerge w:val="continue"/>
          </w:tcPr>
          <w:p>
            <w:pPr>
              <w:jc w:val="center"/>
              <w:rPr>
                <w:rFonts w:hint="eastAsia" w:ascii="仿宋_GB2312" w:hAnsi="仿宋_GB2312" w:eastAsia="仿宋_GB2312" w:cs="仿宋_GB2312"/>
                <w:sz w:val="24"/>
                <w:szCs w:val="24"/>
                <w:vertAlign w:val="baseline"/>
              </w:rPr>
            </w:pPr>
          </w:p>
        </w:tc>
        <w:tc>
          <w:tcPr>
            <w:tcW w:w="3437" w:type="dxa"/>
          </w:tcPr>
          <w:p>
            <w:pPr>
              <w:jc w:val="left"/>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重大</w:t>
            </w:r>
          </w:p>
        </w:tc>
        <w:tc>
          <w:tcPr>
            <w:tcW w:w="1888"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vMerge w:val="restart"/>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2</w:t>
            </w:r>
          </w:p>
        </w:tc>
        <w:tc>
          <w:tcPr>
            <w:tcW w:w="2945" w:type="dxa"/>
            <w:vMerge w:val="restart"/>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违法行为持续时间</w:t>
            </w:r>
          </w:p>
        </w:tc>
        <w:tc>
          <w:tcPr>
            <w:tcW w:w="3437" w:type="dxa"/>
          </w:tcPr>
          <w:p>
            <w:pP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不足3个月</w:t>
            </w:r>
          </w:p>
        </w:tc>
        <w:tc>
          <w:tcPr>
            <w:tcW w:w="1888" w:type="dxa"/>
            <w:vAlign w:val="center"/>
          </w:tcPr>
          <w:p>
            <w:pPr>
              <w:jc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sz w:val="24"/>
                <w:szCs w:val="24"/>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vMerge w:val="continue"/>
            <w:vAlign w:val="center"/>
          </w:tcPr>
          <w:p>
            <w:pPr>
              <w:jc w:val="center"/>
              <w:rPr>
                <w:rFonts w:hint="eastAsia" w:ascii="仿宋_GB2312" w:hAnsi="仿宋_GB2312" w:eastAsia="仿宋_GB2312" w:cs="仿宋_GB2312"/>
                <w:sz w:val="24"/>
                <w:szCs w:val="24"/>
                <w:vertAlign w:val="baseline"/>
              </w:rPr>
            </w:pPr>
          </w:p>
        </w:tc>
        <w:tc>
          <w:tcPr>
            <w:tcW w:w="2945" w:type="dxa"/>
            <w:vMerge w:val="continue"/>
          </w:tcPr>
          <w:p>
            <w:pPr>
              <w:rPr>
                <w:rFonts w:hint="eastAsia" w:ascii="仿宋_GB2312" w:hAnsi="仿宋_GB2312" w:eastAsia="仿宋_GB2312" w:cs="仿宋_GB2312"/>
                <w:sz w:val="24"/>
                <w:szCs w:val="24"/>
                <w:vertAlign w:val="baseline"/>
              </w:rPr>
            </w:pPr>
          </w:p>
        </w:tc>
        <w:tc>
          <w:tcPr>
            <w:tcW w:w="3437" w:type="dxa"/>
          </w:tcPr>
          <w:p>
            <w:pP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3个月以上不足6个月</w:t>
            </w:r>
          </w:p>
        </w:tc>
        <w:tc>
          <w:tcPr>
            <w:tcW w:w="1888" w:type="dxa"/>
            <w:vAlign w:val="center"/>
          </w:tcPr>
          <w:p>
            <w:pPr>
              <w:jc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sz w:val="24"/>
                <w:szCs w:val="24"/>
                <w:vertAlign w:val="baseline"/>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vMerge w:val="continue"/>
            <w:vAlign w:val="center"/>
          </w:tcPr>
          <w:p>
            <w:pPr>
              <w:jc w:val="center"/>
              <w:rPr>
                <w:rFonts w:hint="eastAsia" w:ascii="仿宋_GB2312" w:hAnsi="仿宋_GB2312" w:eastAsia="仿宋_GB2312" w:cs="仿宋_GB2312"/>
                <w:sz w:val="24"/>
                <w:szCs w:val="24"/>
                <w:vertAlign w:val="baseline"/>
              </w:rPr>
            </w:pPr>
          </w:p>
        </w:tc>
        <w:tc>
          <w:tcPr>
            <w:tcW w:w="2945" w:type="dxa"/>
            <w:vMerge w:val="continue"/>
          </w:tcPr>
          <w:p>
            <w:pPr>
              <w:rPr>
                <w:rFonts w:hint="eastAsia" w:ascii="仿宋_GB2312" w:hAnsi="仿宋_GB2312" w:eastAsia="仿宋_GB2312" w:cs="仿宋_GB2312"/>
                <w:sz w:val="24"/>
                <w:szCs w:val="24"/>
                <w:vertAlign w:val="baseline"/>
              </w:rPr>
            </w:pPr>
          </w:p>
        </w:tc>
        <w:tc>
          <w:tcPr>
            <w:tcW w:w="3437" w:type="dxa"/>
          </w:tcPr>
          <w:p>
            <w:pPr>
              <w:rPr>
                <w:rFonts w:hint="eastAsia" w:ascii="仿宋_GB2312" w:hAnsi="仿宋_GB2312" w:eastAsia="仿宋_GB2312" w:cs="仿宋_GB2312"/>
                <w:sz w:val="24"/>
                <w:szCs w:val="24"/>
                <w:vertAlign w:val="baseline"/>
              </w:rPr>
            </w:pPr>
            <w:r>
              <w:rPr>
                <w:rFonts w:hint="eastAsia" w:ascii="仿宋_GB2312" w:hAnsi="仿宋_GB2312" w:eastAsia="仿宋_GB2312" w:cs="仿宋_GB2312"/>
                <w:sz w:val="24"/>
                <w:szCs w:val="24"/>
                <w:vertAlign w:val="baseline"/>
                <w:lang w:val="en-US" w:eastAsia="zh-CN"/>
              </w:rPr>
              <w:t>6个月以上不足12个月</w:t>
            </w:r>
          </w:p>
        </w:tc>
        <w:tc>
          <w:tcPr>
            <w:tcW w:w="1888" w:type="dxa"/>
            <w:vAlign w:val="center"/>
          </w:tcPr>
          <w:p>
            <w:pPr>
              <w:jc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sz w:val="24"/>
                <w:szCs w:val="24"/>
                <w:vertAlign w:val="baseline"/>
                <w:lang w:val="en-US" w:eastAsia="zh-CN"/>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vMerge w:val="continue"/>
            <w:vAlign w:val="center"/>
          </w:tcPr>
          <w:p>
            <w:pPr>
              <w:jc w:val="center"/>
              <w:rPr>
                <w:rFonts w:hint="eastAsia" w:ascii="仿宋_GB2312" w:hAnsi="仿宋_GB2312" w:eastAsia="仿宋_GB2312" w:cs="仿宋_GB2312"/>
                <w:sz w:val="24"/>
                <w:szCs w:val="24"/>
                <w:vertAlign w:val="baseline"/>
              </w:rPr>
            </w:pPr>
          </w:p>
        </w:tc>
        <w:tc>
          <w:tcPr>
            <w:tcW w:w="2945" w:type="dxa"/>
            <w:vMerge w:val="continue"/>
          </w:tcPr>
          <w:p>
            <w:pPr>
              <w:rPr>
                <w:rFonts w:hint="eastAsia" w:ascii="仿宋_GB2312" w:hAnsi="仿宋_GB2312" w:eastAsia="仿宋_GB2312" w:cs="仿宋_GB2312"/>
                <w:sz w:val="24"/>
                <w:szCs w:val="24"/>
                <w:vertAlign w:val="baseline"/>
              </w:rPr>
            </w:pPr>
          </w:p>
        </w:tc>
        <w:tc>
          <w:tcPr>
            <w:tcW w:w="3437" w:type="dxa"/>
          </w:tcPr>
          <w:p>
            <w:pP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12个月以上</w:t>
            </w:r>
          </w:p>
        </w:tc>
        <w:tc>
          <w:tcPr>
            <w:tcW w:w="1888" w:type="dxa"/>
            <w:vAlign w:val="center"/>
          </w:tcPr>
          <w:p>
            <w:pPr>
              <w:jc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sz w:val="24"/>
                <w:szCs w:val="24"/>
                <w:vertAlign w:val="baseline"/>
                <w:lang w:val="en-US" w:eastAsia="zh-CN"/>
              </w:rPr>
              <w:t>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vMerge w:val="restart"/>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3</w:t>
            </w:r>
          </w:p>
        </w:tc>
        <w:tc>
          <w:tcPr>
            <w:tcW w:w="2945" w:type="dxa"/>
            <w:vMerge w:val="restart"/>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建设项目地点</w:t>
            </w:r>
          </w:p>
        </w:tc>
        <w:tc>
          <w:tcPr>
            <w:tcW w:w="3437" w:type="dxa"/>
          </w:tcPr>
          <w:p>
            <w:pP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在生态保护红线区域外</w:t>
            </w:r>
          </w:p>
        </w:tc>
        <w:tc>
          <w:tcPr>
            <w:tcW w:w="1888" w:type="dxa"/>
            <w:vAlign w:val="center"/>
          </w:tcPr>
          <w:p>
            <w:pPr>
              <w:jc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sz w:val="24"/>
                <w:szCs w:val="24"/>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vMerge w:val="continue"/>
            <w:vAlign w:val="center"/>
          </w:tcPr>
          <w:p>
            <w:pPr>
              <w:jc w:val="center"/>
              <w:rPr>
                <w:rFonts w:hint="eastAsia" w:ascii="仿宋_GB2312" w:hAnsi="仿宋_GB2312" w:eastAsia="仿宋_GB2312" w:cs="仿宋_GB2312"/>
                <w:sz w:val="24"/>
                <w:szCs w:val="24"/>
                <w:vertAlign w:val="baseline"/>
              </w:rPr>
            </w:pPr>
          </w:p>
        </w:tc>
        <w:tc>
          <w:tcPr>
            <w:tcW w:w="2945" w:type="dxa"/>
            <w:vMerge w:val="continue"/>
          </w:tcPr>
          <w:p>
            <w:pPr>
              <w:rPr>
                <w:rFonts w:hint="eastAsia" w:ascii="仿宋_GB2312" w:hAnsi="仿宋_GB2312" w:eastAsia="仿宋_GB2312" w:cs="仿宋_GB2312"/>
                <w:sz w:val="24"/>
                <w:szCs w:val="24"/>
                <w:vertAlign w:val="baseline"/>
              </w:rPr>
            </w:pPr>
          </w:p>
        </w:tc>
        <w:tc>
          <w:tcPr>
            <w:tcW w:w="3437" w:type="dxa"/>
          </w:tcPr>
          <w:p>
            <w:pP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在生态保护红线区域内（除自然保护地核心保护区、饮用水水源一级保护区外）</w:t>
            </w:r>
          </w:p>
          <w:p>
            <w:pP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自然保护地一级控制区</w:t>
            </w:r>
          </w:p>
          <w:p>
            <w:pP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饮用水水源二级保护区</w:t>
            </w:r>
          </w:p>
        </w:tc>
        <w:tc>
          <w:tcPr>
            <w:tcW w:w="1888" w:type="dxa"/>
            <w:vAlign w:val="center"/>
          </w:tcPr>
          <w:p>
            <w:pPr>
              <w:jc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sz w:val="24"/>
                <w:szCs w:val="24"/>
                <w:vertAlign w:val="baseline"/>
                <w:lang w:val="en-US" w:eastAsia="zh-CN"/>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vMerge w:val="continue"/>
            <w:vAlign w:val="center"/>
          </w:tcPr>
          <w:p>
            <w:pPr>
              <w:jc w:val="center"/>
              <w:rPr>
                <w:rFonts w:hint="eastAsia" w:ascii="仿宋_GB2312" w:hAnsi="仿宋_GB2312" w:eastAsia="仿宋_GB2312" w:cs="仿宋_GB2312"/>
                <w:sz w:val="24"/>
                <w:szCs w:val="24"/>
                <w:vertAlign w:val="baseline"/>
              </w:rPr>
            </w:pPr>
          </w:p>
        </w:tc>
        <w:tc>
          <w:tcPr>
            <w:tcW w:w="2945" w:type="dxa"/>
            <w:vMerge w:val="continue"/>
          </w:tcPr>
          <w:p>
            <w:pPr>
              <w:rPr>
                <w:rFonts w:hint="eastAsia" w:ascii="仿宋_GB2312" w:hAnsi="仿宋_GB2312" w:eastAsia="仿宋_GB2312" w:cs="仿宋_GB2312"/>
                <w:sz w:val="24"/>
                <w:szCs w:val="24"/>
                <w:vertAlign w:val="baseline"/>
              </w:rPr>
            </w:pPr>
          </w:p>
        </w:tc>
        <w:tc>
          <w:tcPr>
            <w:tcW w:w="3437" w:type="dxa"/>
          </w:tcPr>
          <w:p>
            <w:pP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自然保护地核心控制区</w:t>
            </w:r>
          </w:p>
          <w:p>
            <w:pPr>
              <w:rPr>
                <w:rFonts w:hint="eastAsia" w:ascii="仿宋_GB2312" w:hAnsi="仿宋_GB2312" w:eastAsia="仿宋_GB2312" w:cs="仿宋_GB2312"/>
                <w:sz w:val="24"/>
                <w:szCs w:val="24"/>
                <w:vertAlign w:val="baseline"/>
              </w:rPr>
            </w:pPr>
            <w:r>
              <w:rPr>
                <w:rFonts w:hint="eastAsia" w:ascii="仿宋_GB2312" w:hAnsi="仿宋_GB2312" w:eastAsia="仿宋_GB2312" w:cs="仿宋_GB2312"/>
                <w:sz w:val="24"/>
                <w:szCs w:val="24"/>
                <w:vertAlign w:val="baseline"/>
                <w:lang w:val="en-US" w:eastAsia="zh-CN"/>
              </w:rPr>
              <w:t>饮用水水源一级保护区</w:t>
            </w:r>
          </w:p>
        </w:tc>
        <w:tc>
          <w:tcPr>
            <w:tcW w:w="1888" w:type="dxa"/>
            <w:vAlign w:val="center"/>
          </w:tcPr>
          <w:p>
            <w:pPr>
              <w:jc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sz w:val="24"/>
                <w:szCs w:val="24"/>
                <w:vertAlign w:val="baseline"/>
                <w:lang w:val="en-US" w:eastAsia="zh-CN"/>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vMerge w:val="restart"/>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4</w:t>
            </w:r>
          </w:p>
        </w:tc>
        <w:tc>
          <w:tcPr>
            <w:tcW w:w="2945" w:type="dxa"/>
            <w:vMerge w:val="restart"/>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环境违法次数（两年内，含本次）</w:t>
            </w:r>
          </w:p>
        </w:tc>
        <w:tc>
          <w:tcPr>
            <w:tcW w:w="3437" w:type="dxa"/>
          </w:tcPr>
          <w:p>
            <w:pP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1次</w:t>
            </w:r>
          </w:p>
        </w:tc>
        <w:tc>
          <w:tcPr>
            <w:tcW w:w="1888" w:type="dxa"/>
            <w:vAlign w:val="center"/>
          </w:tcPr>
          <w:p>
            <w:pPr>
              <w:jc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sz w:val="24"/>
                <w:szCs w:val="24"/>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vMerge w:val="continue"/>
            <w:vAlign w:val="center"/>
          </w:tcPr>
          <w:p>
            <w:pPr>
              <w:jc w:val="center"/>
              <w:rPr>
                <w:rFonts w:hint="eastAsia" w:ascii="仿宋_GB2312" w:hAnsi="仿宋_GB2312" w:eastAsia="仿宋_GB2312" w:cs="仿宋_GB2312"/>
                <w:sz w:val="24"/>
                <w:szCs w:val="24"/>
                <w:vertAlign w:val="baseline"/>
              </w:rPr>
            </w:pPr>
          </w:p>
        </w:tc>
        <w:tc>
          <w:tcPr>
            <w:tcW w:w="2945" w:type="dxa"/>
            <w:vMerge w:val="continue"/>
          </w:tcPr>
          <w:p>
            <w:pPr>
              <w:rPr>
                <w:rFonts w:hint="eastAsia" w:ascii="仿宋_GB2312" w:hAnsi="仿宋_GB2312" w:eastAsia="仿宋_GB2312" w:cs="仿宋_GB2312"/>
                <w:sz w:val="24"/>
                <w:szCs w:val="24"/>
                <w:vertAlign w:val="baseline"/>
              </w:rPr>
            </w:pPr>
          </w:p>
        </w:tc>
        <w:tc>
          <w:tcPr>
            <w:tcW w:w="3437" w:type="dxa"/>
          </w:tcPr>
          <w:p>
            <w:pP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2次</w:t>
            </w:r>
          </w:p>
        </w:tc>
        <w:tc>
          <w:tcPr>
            <w:tcW w:w="1888" w:type="dxa"/>
            <w:vAlign w:val="center"/>
          </w:tcPr>
          <w:p>
            <w:pPr>
              <w:jc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sz w:val="24"/>
                <w:szCs w:val="24"/>
                <w:vertAlign w:val="baseline"/>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vMerge w:val="continue"/>
            <w:vAlign w:val="center"/>
          </w:tcPr>
          <w:p>
            <w:pPr>
              <w:jc w:val="center"/>
              <w:rPr>
                <w:rFonts w:hint="eastAsia" w:ascii="仿宋_GB2312" w:hAnsi="仿宋_GB2312" w:eastAsia="仿宋_GB2312" w:cs="仿宋_GB2312"/>
                <w:sz w:val="24"/>
                <w:szCs w:val="24"/>
                <w:vertAlign w:val="baseline"/>
              </w:rPr>
            </w:pPr>
          </w:p>
        </w:tc>
        <w:tc>
          <w:tcPr>
            <w:tcW w:w="2945" w:type="dxa"/>
            <w:vMerge w:val="continue"/>
          </w:tcPr>
          <w:p>
            <w:pPr>
              <w:rPr>
                <w:rFonts w:hint="eastAsia" w:ascii="仿宋_GB2312" w:hAnsi="仿宋_GB2312" w:eastAsia="仿宋_GB2312" w:cs="仿宋_GB2312"/>
                <w:sz w:val="24"/>
                <w:szCs w:val="24"/>
                <w:vertAlign w:val="baseline"/>
              </w:rPr>
            </w:pPr>
          </w:p>
        </w:tc>
        <w:tc>
          <w:tcPr>
            <w:tcW w:w="3437" w:type="dxa"/>
          </w:tcPr>
          <w:p>
            <w:pP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3次</w:t>
            </w:r>
          </w:p>
        </w:tc>
        <w:tc>
          <w:tcPr>
            <w:tcW w:w="1888" w:type="dxa"/>
            <w:vAlign w:val="center"/>
          </w:tcPr>
          <w:p>
            <w:pPr>
              <w:jc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sz w:val="24"/>
                <w:szCs w:val="24"/>
                <w:vertAlign w:val="baseline"/>
                <w:lang w:val="en-US" w:eastAsia="zh-CN"/>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vMerge w:val="continue"/>
            <w:vAlign w:val="center"/>
          </w:tcPr>
          <w:p>
            <w:pPr>
              <w:jc w:val="center"/>
              <w:rPr>
                <w:rFonts w:hint="eastAsia" w:ascii="仿宋_GB2312" w:hAnsi="仿宋_GB2312" w:eastAsia="仿宋_GB2312" w:cs="仿宋_GB2312"/>
                <w:sz w:val="24"/>
                <w:szCs w:val="24"/>
                <w:vertAlign w:val="baseline"/>
              </w:rPr>
            </w:pPr>
          </w:p>
        </w:tc>
        <w:tc>
          <w:tcPr>
            <w:tcW w:w="2945" w:type="dxa"/>
            <w:vMerge w:val="continue"/>
          </w:tcPr>
          <w:p>
            <w:pPr>
              <w:rPr>
                <w:rFonts w:hint="eastAsia" w:ascii="仿宋_GB2312" w:hAnsi="仿宋_GB2312" w:eastAsia="仿宋_GB2312" w:cs="仿宋_GB2312"/>
                <w:sz w:val="24"/>
                <w:szCs w:val="24"/>
                <w:vertAlign w:val="baseline"/>
              </w:rPr>
            </w:pPr>
          </w:p>
        </w:tc>
        <w:tc>
          <w:tcPr>
            <w:tcW w:w="3437" w:type="dxa"/>
          </w:tcPr>
          <w:p>
            <w:pP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4次以上</w:t>
            </w:r>
          </w:p>
        </w:tc>
        <w:tc>
          <w:tcPr>
            <w:tcW w:w="1888" w:type="dxa"/>
            <w:vAlign w:val="center"/>
          </w:tcPr>
          <w:p>
            <w:pPr>
              <w:jc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sz w:val="24"/>
                <w:szCs w:val="24"/>
                <w:vertAlign w:val="baseline"/>
                <w:lang w:val="en-US" w:eastAsia="zh-CN"/>
              </w:rPr>
              <w:t>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vMerge w:val="restart"/>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5</w:t>
            </w:r>
          </w:p>
        </w:tc>
        <w:tc>
          <w:tcPr>
            <w:tcW w:w="2945" w:type="dxa"/>
            <w:vMerge w:val="restart"/>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对周边居民、单位等造成的不良影响（一年内）</w:t>
            </w:r>
          </w:p>
        </w:tc>
        <w:tc>
          <w:tcPr>
            <w:tcW w:w="3437" w:type="dxa"/>
          </w:tcPr>
          <w:p>
            <w:pP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无</w:t>
            </w:r>
          </w:p>
        </w:tc>
        <w:tc>
          <w:tcPr>
            <w:tcW w:w="1888" w:type="dxa"/>
            <w:vAlign w:val="center"/>
          </w:tcPr>
          <w:p>
            <w:pPr>
              <w:jc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sz w:val="24"/>
                <w:szCs w:val="24"/>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vMerge w:val="continue"/>
          </w:tcPr>
          <w:p>
            <w:pPr>
              <w:rPr>
                <w:rFonts w:hint="eastAsia" w:ascii="仿宋_GB2312" w:hAnsi="仿宋_GB2312" w:eastAsia="仿宋_GB2312" w:cs="仿宋_GB2312"/>
                <w:sz w:val="24"/>
                <w:szCs w:val="24"/>
                <w:vertAlign w:val="baseline"/>
              </w:rPr>
            </w:pPr>
          </w:p>
        </w:tc>
        <w:tc>
          <w:tcPr>
            <w:tcW w:w="2945" w:type="dxa"/>
            <w:vMerge w:val="continue"/>
          </w:tcPr>
          <w:p>
            <w:pPr>
              <w:rPr>
                <w:rFonts w:hint="eastAsia" w:ascii="仿宋_GB2312" w:hAnsi="仿宋_GB2312" w:eastAsia="仿宋_GB2312" w:cs="仿宋_GB2312"/>
                <w:sz w:val="24"/>
                <w:szCs w:val="24"/>
                <w:vertAlign w:val="baseline"/>
              </w:rPr>
            </w:pPr>
          </w:p>
        </w:tc>
        <w:tc>
          <w:tcPr>
            <w:tcW w:w="3437" w:type="dxa"/>
          </w:tcPr>
          <w:p>
            <w:pP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有投诉且核实</w:t>
            </w:r>
          </w:p>
        </w:tc>
        <w:tc>
          <w:tcPr>
            <w:tcW w:w="1888" w:type="dxa"/>
            <w:vAlign w:val="center"/>
          </w:tcPr>
          <w:p>
            <w:pPr>
              <w:jc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sz w:val="24"/>
                <w:szCs w:val="24"/>
                <w:vertAlign w:val="baseline"/>
                <w:lang w:val="en-US" w:eastAsia="zh-CN"/>
              </w:rPr>
              <w:t>5%</w:t>
            </w:r>
          </w:p>
        </w:tc>
      </w:tr>
    </w:tbl>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br w:type="page"/>
      </w:r>
    </w:p>
    <w:p>
      <w:pPr>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注：</w:t>
      </w:r>
    </w:p>
    <w:p>
      <w:pPr>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1、本表裁量起点的确定方法如下：</w:t>
      </w:r>
    </w:p>
    <w:p>
      <w:pPr>
        <w:numPr>
          <w:ilvl w:val="0"/>
          <w:numId w:val="2"/>
        </w:numPr>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裁量起点Y=（法定最低罚款数额/法定最高罚款数额）*100%；</w:t>
      </w:r>
    </w:p>
    <w:p>
      <w:pPr>
        <w:numPr>
          <w:ilvl w:val="0"/>
          <w:numId w:val="2"/>
        </w:numPr>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如涉及到按照所收费用/货值金额/违法所得的倍数确定罚款的规定，裁量七点Y=（处罚最低倍数/处罚最高倍数）*100%；</w:t>
      </w:r>
    </w:p>
    <w:p>
      <w:pPr>
        <w:numPr>
          <w:ilvl w:val="0"/>
          <w:numId w:val="2"/>
        </w:numPr>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如未规定法定最低罚款金额的，裁量起点Y=（《中华人民共和国行政处罚法》规定的简易程序对应的最高罚款数额/法定最高罚款数额）*100%。</w:t>
      </w:r>
    </w:p>
    <w:p>
      <w:pPr>
        <w:widowControl w:val="0"/>
        <w:numPr>
          <w:ilvl w:val="0"/>
          <w:numId w:val="0"/>
        </w:numPr>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2、本表的裁量计算方法如下：</w:t>
      </w:r>
    </w:p>
    <w:p>
      <w:pPr>
        <w:widowControl w:val="0"/>
        <w:numPr>
          <w:ilvl w:val="0"/>
          <w:numId w:val="3"/>
        </w:numPr>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罚款金额=[Y+（裁量百分值累计之和）*（1-Y）]*法定最高罚款数额；</w:t>
      </w:r>
    </w:p>
    <w:p>
      <w:pPr>
        <w:widowControl w:val="0"/>
        <w:numPr>
          <w:ilvl w:val="0"/>
          <w:numId w:val="3"/>
        </w:numPr>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如涉及到按照所收费用/货值金额/违法所得的倍数确定罚款的规定，裁量的计算方法：罚款金额=所收费用/货值金额/违法所得*[Y+（裁量百分值累计之和）*（1-Y）]*处罚的最高倍数。</w:t>
      </w:r>
    </w:p>
    <w:p>
      <w:pPr>
        <w:widowControl w:val="0"/>
        <w:numPr>
          <w:ilvl w:val="0"/>
          <w:numId w:val="0"/>
        </w:numPr>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3、环境影响程度包括对环境污染和生态破坏及存在潜在环境风险的情况，可考虑污染物排放的浓度、数量、种类、毒性等因素。</w:t>
      </w:r>
    </w:p>
    <w:p>
      <w:pPr>
        <w:widowControl w:val="0"/>
        <w:numPr>
          <w:ilvl w:val="0"/>
          <w:numId w:val="0"/>
        </w:numPr>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4、建设项目地点出现以下情形的，按照如下规则进行裁量：</w:t>
      </w:r>
    </w:p>
    <w:p>
      <w:pPr>
        <w:widowControl w:val="0"/>
        <w:numPr>
          <w:ilvl w:val="0"/>
          <w:numId w:val="4"/>
        </w:numPr>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自然保护地未纳入生态保护红线区域的，按照自然保护地一般控制区进行裁量;</w:t>
      </w:r>
    </w:p>
    <w:p>
      <w:pPr>
        <w:widowControl w:val="0"/>
        <w:numPr>
          <w:ilvl w:val="0"/>
          <w:numId w:val="4"/>
        </w:numPr>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饮用水水源准水源保护区及饮用水水源缓冲区纳入生态保护红线区域的，按照在生态保护红线区域内 （除自然保护地核心保护区、饮用水水源一级保护区外）进行裁量，饮用水水源准水源保护区及饮用水水源缓冲区未纳入生态保护红线区域的，按照在生态保护红线区域外进行裁量;</w:t>
      </w:r>
    </w:p>
    <w:p>
      <w:pPr>
        <w:widowControl w:val="0"/>
        <w:numPr>
          <w:ilvl w:val="0"/>
          <w:numId w:val="4"/>
        </w:numPr>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如同时满足不同分类要求的，选择裁量百分值较重的类别进行裁量。</w:t>
      </w:r>
    </w:p>
    <w:p>
      <w:pPr>
        <w:widowControl w:val="0"/>
        <w:numPr>
          <w:ilvl w:val="0"/>
          <w:numId w:val="0"/>
        </w:numPr>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5、本表所称的“以上”包括本数，“不足”不包括本数。</w:t>
      </w:r>
    </w:p>
    <w:p>
      <w:pPr>
        <w:widowControl w:val="0"/>
        <w:numPr>
          <w:ilvl w:val="0"/>
          <w:numId w:val="0"/>
        </w:numPr>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6、环境违法次数（两年内，含本次) 指当事人自发现本次违法行为之日 （不包含本日）起向前追溯两年发生的环境违法行为次数。对同一当事人的两个或者两个以上环境违法行为，如列入同一行政处罚决定书的，按照实际违法次数计算。</w:t>
      </w:r>
    </w:p>
    <w:p>
      <w:pPr>
        <w:widowControl w:val="0"/>
        <w:numPr>
          <w:ilvl w:val="0"/>
          <w:numId w:val="0"/>
        </w:numPr>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7、对周边居民、单位等造成的不良影响 (一年内）是指当事人自发现本次违法行为之日(不包含本日)起向前追溯一年发生的投诉且经核实的情况</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script"/>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277A4ED"/>
    <w:multiLevelType w:val="singleLevel"/>
    <w:tmpl w:val="9277A4ED"/>
    <w:lvl w:ilvl="0" w:tentative="0">
      <w:start w:val="1"/>
      <w:numFmt w:val="decimal"/>
      <w:suff w:val="nothing"/>
      <w:lvlText w:val="（%1）"/>
      <w:lvlJc w:val="left"/>
    </w:lvl>
  </w:abstractNum>
  <w:abstractNum w:abstractNumId="1">
    <w:nsid w:val="053D2678"/>
    <w:multiLevelType w:val="singleLevel"/>
    <w:tmpl w:val="053D2678"/>
    <w:lvl w:ilvl="0" w:tentative="0">
      <w:start w:val="1"/>
      <w:numFmt w:val="decimal"/>
      <w:suff w:val="nothing"/>
      <w:lvlText w:val="（%1）"/>
      <w:lvlJc w:val="left"/>
    </w:lvl>
  </w:abstractNum>
  <w:abstractNum w:abstractNumId="2">
    <w:nsid w:val="3C149DF1"/>
    <w:multiLevelType w:val="singleLevel"/>
    <w:tmpl w:val="3C149DF1"/>
    <w:lvl w:ilvl="0" w:tentative="0">
      <w:start w:val="5"/>
      <w:numFmt w:val="chineseCounting"/>
      <w:suff w:val="space"/>
      <w:lvlText w:val="第%1条"/>
      <w:lvlJc w:val="left"/>
      <w:rPr>
        <w:rFonts w:hint="eastAsia"/>
      </w:rPr>
    </w:lvl>
  </w:abstractNum>
  <w:abstractNum w:abstractNumId="3">
    <w:nsid w:val="7FEF1A38"/>
    <w:multiLevelType w:val="singleLevel"/>
    <w:tmpl w:val="7FEF1A38"/>
    <w:lvl w:ilvl="0" w:tentative="0">
      <w:start w:val="1"/>
      <w:numFmt w:val="decimal"/>
      <w:suff w:val="nothing"/>
      <w:lvlText w:val="（%1）"/>
      <w:lvlJc w:val="left"/>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FjNDg0NDZjZjY2ZTMwYTBjZTA2MDMwMzc3ZGQ1M2UifQ=="/>
  </w:docVars>
  <w:rsids>
    <w:rsidRoot w:val="2D754821"/>
    <w:rsid w:val="003412F1"/>
    <w:rsid w:val="012E5AF5"/>
    <w:rsid w:val="01331D3E"/>
    <w:rsid w:val="01953276"/>
    <w:rsid w:val="022656AB"/>
    <w:rsid w:val="04BC3FEE"/>
    <w:rsid w:val="05300538"/>
    <w:rsid w:val="05F72243"/>
    <w:rsid w:val="065C674E"/>
    <w:rsid w:val="06636B01"/>
    <w:rsid w:val="088759C9"/>
    <w:rsid w:val="0A3F5536"/>
    <w:rsid w:val="0A7B2255"/>
    <w:rsid w:val="0B81117E"/>
    <w:rsid w:val="0DD73ECA"/>
    <w:rsid w:val="0EDB6338"/>
    <w:rsid w:val="0F033EA7"/>
    <w:rsid w:val="100B5E29"/>
    <w:rsid w:val="13076D7C"/>
    <w:rsid w:val="13182D37"/>
    <w:rsid w:val="13B51705"/>
    <w:rsid w:val="13DF5890"/>
    <w:rsid w:val="14F955CC"/>
    <w:rsid w:val="157F7F62"/>
    <w:rsid w:val="15F05857"/>
    <w:rsid w:val="168B71B7"/>
    <w:rsid w:val="17012642"/>
    <w:rsid w:val="17432486"/>
    <w:rsid w:val="17CF3BE0"/>
    <w:rsid w:val="1A104843"/>
    <w:rsid w:val="1B6148F2"/>
    <w:rsid w:val="1BAF7A75"/>
    <w:rsid w:val="1BD60ACD"/>
    <w:rsid w:val="1C0B7423"/>
    <w:rsid w:val="1CBF5B37"/>
    <w:rsid w:val="1DA97D1A"/>
    <w:rsid w:val="1EB23873"/>
    <w:rsid w:val="20C0129D"/>
    <w:rsid w:val="20DB35F6"/>
    <w:rsid w:val="21272270"/>
    <w:rsid w:val="22463166"/>
    <w:rsid w:val="228012FE"/>
    <w:rsid w:val="24E707BB"/>
    <w:rsid w:val="256553D9"/>
    <w:rsid w:val="26987061"/>
    <w:rsid w:val="2A3F5527"/>
    <w:rsid w:val="2B1B4ED1"/>
    <w:rsid w:val="2B6832E8"/>
    <w:rsid w:val="2D754821"/>
    <w:rsid w:val="30A7329E"/>
    <w:rsid w:val="30D809E8"/>
    <w:rsid w:val="30FF39C1"/>
    <w:rsid w:val="317729D0"/>
    <w:rsid w:val="31BA6ECA"/>
    <w:rsid w:val="35392F39"/>
    <w:rsid w:val="35B37F0B"/>
    <w:rsid w:val="36BF21E6"/>
    <w:rsid w:val="374852F5"/>
    <w:rsid w:val="37721DCC"/>
    <w:rsid w:val="37F30D82"/>
    <w:rsid w:val="3CFF7672"/>
    <w:rsid w:val="3E2B48AC"/>
    <w:rsid w:val="43C57A72"/>
    <w:rsid w:val="45BD6325"/>
    <w:rsid w:val="45BF3C97"/>
    <w:rsid w:val="474B4782"/>
    <w:rsid w:val="475B41DC"/>
    <w:rsid w:val="47D73BEA"/>
    <w:rsid w:val="49135F25"/>
    <w:rsid w:val="4A746E4E"/>
    <w:rsid w:val="4ACF5BF8"/>
    <w:rsid w:val="4B7F26FB"/>
    <w:rsid w:val="4C1722DE"/>
    <w:rsid w:val="4C4A23B9"/>
    <w:rsid w:val="4C9A446B"/>
    <w:rsid w:val="4D115A78"/>
    <w:rsid w:val="4D683CD6"/>
    <w:rsid w:val="4DC45782"/>
    <w:rsid w:val="4DE37221"/>
    <w:rsid w:val="4EAA6232"/>
    <w:rsid w:val="4EC7658F"/>
    <w:rsid w:val="4EE54ECF"/>
    <w:rsid w:val="4F7F096E"/>
    <w:rsid w:val="4F8D0CEE"/>
    <w:rsid w:val="50A94DA7"/>
    <w:rsid w:val="50E94F8B"/>
    <w:rsid w:val="5163721D"/>
    <w:rsid w:val="53C1179E"/>
    <w:rsid w:val="547E2977"/>
    <w:rsid w:val="553E32C9"/>
    <w:rsid w:val="567D1EA9"/>
    <w:rsid w:val="57082A7B"/>
    <w:rsid w:val="581110D0"/>
    <w:rsid w:val="59A27DC4"/>
    <w:rsid w:val="5A487392"/>
    <w:rsid w:val="5C194FE2"/>
    <w:rsid w:val="5C724177"/>
    <w:rsid w:val="5CF97AD0"/>
    <w:rsid w:val="5D043747"/>
    <w:rsid w:val="5D2400EC"/>
    <w:rsid w:val="5DF27800"/>
    <w:rsid w:val="5FAB1E0A"/>
    <w:rsid w:val="61BB57DA"/>
    <w:rsid w:val="63DB4A00"/>
    <w:rsid w:val="63EA4CD1"/>
    <w:rsid w:val="643F6EDE"/>
    <w:rsid w:val="65533ABB"/>
    <w:rsid w:val="66CB754A"/>
    <w:rsid w:val="683C12C8"/>
    <w:rsid w:val="699E0B7B"/>
    <w:rsid w:val="69E516EC"/>
    <w:rsid w:val="6A841351"/>
    <w:rsid w:val="6A89664A"/>
    <w:rsid w:val="6B7C1DA8"/>
    <w:rsid w:val="6BB65DBE"/>
    <w:rsid w:val="6BB97B5D"/>
    <w:rsid w:val="6BBA58AE"/>
    <w:rsid w:val="6C8F13AC"/>
    <w:rsid w:val="6CE83FF2"/>
    <w:rsid w:val="6D2A7C88"/>
    <w:rsid w:val="6E8F7245"/>
    <w:rsid w:val="71536F6A"/>
    <w:rsid w:val="719122C6"/>
    <w:rsid w:val="73BE248D"/>
    <w:rsid w:val="745257A4"/>
    <w:rsid w:val="74B04184"/>
    <w:rsid w:val="74DB5BB1"/>
    <w:rsid w:val="74F556BF"/>
    <w:rsid w:val="75470F72"/>
    <w:rsid w:val="75910E22"/>
    <w:rsid w:val="76217643"/>
    <w:rsid w:val="767903C9"/>
    <w:rsid w:val="77A5479D"/>
    <w:rsid w:val="7845244F"/>
    <w:rsid w:val="78E67E0C"/>
    <w:rsid w:val="794B2CD3"/>
    <w:rsid w:val="79B13B1C"/>
    <w:rsid w:val="7BD73F04"/>
    <w:rsid w:val="7C3272AC"/>
    <w:rsid w:val="7D1607D1"/>
    <w:rsid w:val="7D20578D"/>
    <w:rsid w:val="7DBE4607"/>
    <w:rsid w:val="7E2D54C8"/>
    <w:rsid w:val="7EB13D6D"/>
    <w:rsid w:val="7FEB2A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Body Text"/>
    <w:basedOn w:val="1"/>
    <w:next w:val="1"/>
    <w:qFormat/>
    <w:uiPriority w:val="0"/>
    <w:pPr>
      <w:spacing w:after="120"/>
    </w:pPr>
    <w:rPr>
      <w:rFonts w:ascii="Times New Roman" w:hAnsi="Times New Roman"/>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7">
    <w:name w:val="标题1"/>
    <w:basedOn w:val="1"/>
    <w:next w:val="1"/>
    <w:qFormat/>
    <w:uiPriority w:val="0"/>
    <w:pPr>
      <w:tabs>
        <w:tab w:val="left" w:pos="9193"/>
        <w:tab w:val="left" w:pos="9827"/>
      </w:tabs>
      <w:spacing w:line="700" w:lineRule="atLeast"/>
      <w:ind w:firstLine="0"/>
      <w:jc w:val="center"/>
    </w:pPr>
    <w:rPr>
      <w:rFonts w:eastAsia="方正小标宋_GBK"/>
      <w:sz w:val="4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72</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2023-11-24T06:35:00Z</dcterms:created>
  <dc:creator>尼古拉斯-熊本峰</dc:creator>
  <cp:lastModifiedBy>尼古拉斯-熊本峰</cp:lastModifiedBy>
  <cp:lastPrinted>2023-12-11T03:20:00Z</cp:lastPrinted>
  <dcterms:modified xsi:type="dcterms:W3CDTF">2023-12-11T07:48:21Z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5A82EC3E99B642F2AEB10BC5CB892AAC_11</vt:lpwstr>
  </property>
</Properties>
</file>